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EEC35" w14:textId="1B8E76BD" w:rsidR="004D7988" w:rsidRDefault="004D7988" w:rsidP="004D7988">
      <w:pPr>
        <w:jc w:val="both"/>
        <w:rPr>
          <w:rFonts w:ascii="Times New Roman" w:hAnsi="Times New Roman" w:cs="Times New Roman"/>
          <w:sz w:val="28"/>
          <w:szCs w:val="28"/>
        </w:rPr>
      </w:pPr>
      <w:r>
        <w:rPr>
          <w:rFonts w:ascii="Times New Roman" w:hAnsi="Times New Roman" w:cs="Times New Roman"/>
          <w:sz w:val="28"/>
          <w:szCs w:val="28"/>
        </w:rPr>
        <w:t>Supplementary materials to “</w:t>
      </w:r>
      <w:r w:rsidRPr="004D7988">
        <w:rPr>
          <w:rFonts w:ascii="Times New Roman" w:hAnsi="Times New Roman" w:cs="Times New Roman"/>
          <w:sz w:val="28"/>
          <w:szCs w:val="28"/>
        </w:rPr>
        <w:t>Evaluating amyloid-beta as a surrogate endpoint in trials of anti-amyloid-beta drugs in Alzheimer’s disease: a Bayesian meta-analysis</w:t>
      </w:r>
      <w:r>
        <w:rPr>
          <w:rFonts w:ascii="Times New Roman" w:hAnsi="Times New Roman" w:cs="Times New Roman"/>
          <w:sz w:val="28"/>
          <w:szCs w:val="28"/>
        </w:rPr>
        <w:t>”</w:t>
      </w:r>
    </w:p>
    <w:p w14:paraId="7CA407D7" w14:textId="2F2E61E9" w:rsidR="00715DE1" w:rsidRPr="005C429C" w:rsidRDefault="00715DE1" w:rsidP="00DB55E9">
      <w:pPr>
        <w:jc w:val="both"/>
        <w:rPr>
          <w:rFonts w:ascii="Times New Roman" w:hAnsi="Times New Roman" w:cs="Times New Roman"/>
          <w:sz w:val="28"/>
          <w:szCs w:val="28"/>
        </w:rPr>
      </w:pPr>
      <w:r w:rsidRPr="005C429C">
        <w:rPr>
          <w:rFonts w:ascii="Times New Roman" w:hAnsi="Times New Roman" w:cs="Times New Roman"/>
          <w:sz w:val="28"/>
          <w:szCs w:val="28"/>
        </w:rPr>
        <w:t>Appendix A. Conversion of data on Aβ PET between Centiloid and SUVR scales</w:t>
      </w:r>
    </w:p>
    <w:p w14:paraId="5D15BEB0" w14:textId="1C79DF5B" w:rsidR="00715DE1" w:rsidRPr="005C429C" w:rsidRDefault="00715DE1" w:rsidP="00DB55E9">
      <w:pPr>
        <w:jc w:val="both"/>
        <w:rPr>
          <w:rFonts w:ascii="Times New Roman" w:hAnsi="Times New Roman" w:cs="Times New Roman"/>
        </w:rPr>
      </w:pPr>
      <w:r w:rsidRPr="005C429C">
        <w:rPr>
          <w:rFonts w:ascii="Times New Roman" w:hAnsi="Times New Roman" w:cs="Times New Roman"/>
        </w:rPr>
        <w:t>In trials assessing anti-Amyloid-</w:t>
      </w:r>
      <w:r w:rsidR="005F6B8A" w:rsidRPr="005C429C">
        <w:rPr>
          <w:rFonts w:ascii="Times New Roman" w:hAnsi="Times New Roman" w:cs="Times New Roman"/>
        </w:rPr>
        <w:t>beta</w:t>
      </w:r>
      <w:r w:rsidRPr="005C429C">
        <w:rPr>
          <w:rFonts w:ascii="Times New Roman" w:hAnsi="Times New Roman" w:cs="Times New Roman"/>
        </w:rPr>
        <w:t xml:space="preserve"> (Aβ) drugs, the treatment effect is commonly assessed in terms of the reduction in Aβ </w:t>
      </w:r>
      <w:r w:rsidR="005F6B8A" w:rsidRPr="005C429C">
        <w:rPr>
          <w:rFonts w:ascii="Times New Roman" w:hAnsi="Times New Roman" w:cs="Times New Roman"/>
        </w:rPr>
        <w:t>volume</w:t>
      </w:r>
      <w:r w:rsidRPr="005C429C">
        <w:rPr>
          <w:rFonts w:ascii="Times New Roman" w:hAnsi="Times New Roman" w:cs="Times New Roman"/>
        </w:rPr>
        <w:t xml:space="preserve"> within the brain measured via positron emission tomography (PET) imaging. The PET images are inspected to quantify the Aβ volume as a standardized uptake value ratio (SUVR). PET imaging involves the injection of a radioactive tracer which may differ from trial to trial, hindering the comparison of SUVR values across trials. To facilitate cross-trial comparisons, methods have been proposed to convert SUVR values to a standard Centiloid scale </w:t>
      </w:r>
      <w:r w:rsidR="008A4505"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{"citationID":"YcV2nHci","properties":{"formattedCitation":"\\super 1\\nosupersub{}","plainCitation":"1","noteIndex":0},"citationItems":[{"id":94,"uris":["http://zotero.org/users/15061285/items/H7WRSVKS"],"itemData":{"id":94,"type":"article-journal","abstract":"Although amyloid imaging with PiB-PET ([C-11]Pittsburgh Compound-B positron emission tomography), and now with F-18-labeled tracers, has produced remarkably consistent qualitative findings across a large number of centers, there has been considerable variability in the exact numbers reported as quantitative outcome measures of tracer retention. In some cases this is as trivial as the choice of units, in some cases it is scanner dependent, and of course, different tracers yield different numbers. Our working group was formed to standardize quantitative amyloid imaging measures by scaling the outcome of each particular analysis method or tracer to a 0 to 100 scale, anchored by young controls (≤45 years) and typical Alzheimer's disease patients. The units of this scale have been named “Centiloids.” Basically, we describe a “standard” method of analyzing PiB PET data and then a method for scaling any “nonstandard” method of PiB PET analysis (or any other tracer) to the Centiloid scale.","container-title":"Alzheimer's &amp; Dementia","DOI":"10.1016/j.jalz.2014.07.003","ISSN":"1552-5260","issue":"1","journalAbbreviation":"Alzheimer's &amp; Dementia","page":"1-15.e4","source":"ScienceDirect","title":"The Centiloid Project: Standardizing quantitative amyloid plaque estimation by PET","title-short":"The Centiloid Project","volume":"11","author":[{"family":"Klunk","given":"William E."},{"family":"Koeppe","given":"Robert A."},{"family":"Price","given":"Julie C."},{"family":"Benzinger","given":"Tammie L."},{"family":"Devous","given":"Michael D."},{"family":"Jagust","given":"William J."},{"family":"Johnson","given":"Keith A."},{"family":"Mathis","given":"Chester A."},{"family":"Minhas","given":"Davneet"},{"family":"Pontecorvo","given":"Michael J."},{"family":"Rowe","given":"Christopher C."},{"family":"Skovronsky","given":"Daniel M."},{"family":"Mintun","given":"Mark A."}],"issued":{"date-parts":[["2015",1,1]]}}}],"schema":"https://github.com/citation-style-language/schema/raw/master/csl-citation.json"} </w:instrText>
      </w:r>
      <w:r w:rsidR="008A4505" w:rsidRPr="005C429C">
        <w:rPr>
          <w:rFonts w:ascii="Times New Roman" w:hAnsi="Times New Roman" w:cs="Times New Roman"/>
        </w:rPr>
        <w:fldChar w:fldCharType="separate"/>
      </w:r>
      <w:r w:rsidR="008A4505" w:rsidRPr="005C429C">
        <w:rPr>
          <w:rFonts w:ascii="Times New Roman" w:hAnsi="Times New Roman" w:cs="Times New Roman"/>
          <w:kern w:val="0"/>
          <w:szCs w:val="24"/>
          <w:vertAlign w:val="superscript"/>
        </w:rPr>
        <w:t>1</w:t>
      </w:r>
      <w:r w:rsidR="008A4505" w:rsidRPr="005C429C">
        <w:rPr>
          <w:rFonts w:ascii="Times New Roman" w:hAnsi="Times New Roman" w:cs="Times New Roman"/>
        </w:rPr>
        <w:fldChar w:fldCharType="end"/>
      </w:r>
      <w:r w:rsidRPr="005C429C">
        <w:rPr>
          <w:rFonts w:ascii="Times New Roman" w:hAnsi="Times New Roman" w:cs="Times New Roman"/>
        </w:rPr>
        <w:t xml:space="preserve">. </w:t>
      </w:r>
    </w:p>
    <w:p w14:paraId="319A170F" w14:textId="067F2074" w:rsidR="00715DE1" w:rsidRPr="005C429C" w:rsidRDefault="00715DE1" w:rsidP="00DB55E9">
      <w:pPr>
        <w:jc w:val="both"/>
        <w:rPr>
          <w:rFonts w:ascii="Times New Roman" w:hAnsi="Times New Roman" w:cs="Times New Roman"/>
        </w:rPr>
      </w:pPr>
      <w:r w:rsidRPr="005C429C">
        <w:rPr>
          <w:rFonts w:ascii="Times New Roman" w:hAnsi="Times New Roman" w:cs="Times New Roman"/>
        </w:rPr>
        <w:t xml:space="preserve">In our evidence base, the majority of trials reported data on the SUVR scale, but there were a few trials which reported data on the Centiloid scale only. To make the most efficient use of this evidence, we converted these data from the Centiloid scale to the SUVR scale. A number of studies have implemented the conversion from the SUVR scale to the Centiloid scale based on the tracer used for </w:t>
      </w:r>
      <w:bookmarkStart w:id="0" w:name="_Hlk210304666"/>
      <w:r w:rsidRPr="005C429C">
        <w:rPr>
          <w:rFonts w:ascii="Times New Roman" w:hAnsi="Times New Roman" w:cs="Times New Roman"/>
        </w:rPr>
        <w:t>Aβ PET imaging</w:t>
      </w:r>
      <w:bookmarkEnd w:id="0"/>
      <w:r w:rsidRPr="005C429C">
        <w:rPr>
          <w:rFonts w:ascii="Times New Roman" w:hAnsi="Times New Roman" w:cs="Times New Roman"/>
        </w:rPr>
        <w:t xml:space="preserve">; florbetapir </w:t>
      </w:r>
      <w:r w:rsidR="008A4505"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{"citationID":"9NDGefvx","properties":{"formattedCitation":"\\super 2\\nosupersub{}","plainCitation":"2","noteIndex":0},"citationItems":[{"id":87,"uris":["http://zotero.org/users/15061285/items/BBPJ3CEM"],"itemData":{"id":87,"type":"article-journal","abstract":"Introduction Klunk et al. recently proposed a means of standardizing quantitation of amyloid burden from positron emission tomography scans to a common Centiloid scale, and we have applied that method to florbetapir. Methods Florbetapir and Pittsburgh compound B scans were acquired for 46 mixed clinical presentation subjects within 18 ± 20 days. Florbetapir and Pittsburgh compound B cortical standardized uptake value ratio (SUVr) values were well correlated for both standard Centiloid (R2 = 0.894) and Avid (R2 = 0.901) volume of interests (VOIs). The methods of Klunk et al. were applied to establish a conversion first from florbetapir SUVr values obtained using standard Centiloid VOIs to Centiloids and then from Avid VOIs (Joshi et al.) to Centiloids. Results The equation for conversion of florbetapir SUVr from Avid VOIs to the Centiloid scale was as follows: Florbetapir Centiloids = 183 × SUVrAvid − 177. The threshold that discriminated neuropathologically verified none or sparse versus moderate to frequent plaques in autopsy-confirmed data is 24.1 Centiloids. Discussion These findings may allow improved tracer-independent amyloid quantitation.","container-title":"Alzheimer's &amp; Dementia","DOI":"10.1016/j.jalz.2018.06.1353","ISSN":"1552-5279","issue":"12","language":"en","license":"© 2018 The Alzheimer's Association","note":"_eprint: https://onlinelibrary.wiley.com/doi/pdf/10.1016/j.jalz.2018.06.1353","page":"1565-1571","source":"Wiley Online Library","title":"Standardization of amyloid quantitation with florbetapir standardized uptake value ratios to the Centiloid scale","volume":"14","author":[{"family":"Navitsky","given":"Michael"},{"family":"Joshi","given":"Abhinay D."},{"family":"Kennedy","given":"Ian"},{"family":"Klunk","given":"William E."},{"family":"Rowe","given":"Christopher C."},{"family":"Wong","given":"Dean F."},{"family":"Pontecorvo","given":"Michael J."},{"family":"Mintun","given":"Mark A."},{"family":"Devous Sr.","given":"Michael D."}],"issued":{"date-parts":[["2018"]]}}}],"schema":"https://github.com/citation-style-language/schema/raw/master/csl-citation.json"} </w:instrText>
      </w:r>
      <w:r w:rsidR="008A4505" w:rsidRPr="005C429C">
        <w:rPr>
          <w:rFonts w:ascii="Times New Roman" w:hAnsi="Times New Roman" w:cs="Times New Roman"/>
        </w:rPr>
        <w:fldChar w:fldCharType="separate"/>
      </w:r>
      <w:r w:rsidR="008A4505" w:rsidRPr="005C429C">
        <w:rPr>
          <w:rFonts w:ascii="Times New Roman" w:hAnsi="Times New Roman" w:cs="Times New Roman"/>
          <w:kern w:val="0"/>
          <w:szCs w:val="24"/>
          <w:vertAlign w:val="superscript"/>
        </w:rPr>
        <w:t>2</w:t>
      </w:r>
      <w:r w:rsidR="008A4505" w:rsidRPr="005C429C">
        <w:rPr>
          <w:rFonts w:ascii="Times New Roman" w:hAnsi="Times New Roman" w:cs="Times New Roman"/>
        </w:rPr>
        <w:fldChar w:fldCharType="end"/>
      </w:r>
      <w:r w:rsidRPr="005C429C">
        <w:rPr>
          <w:rFonts w:ascii="Times New Roman" w:hAnsi="Times New Roman" w:cs="Times New Roman"/>
        </w:rPr>
        <w:t>, florbetaben</w:t>
      </w:r>
      <w:r w:rsidR="008A4505"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{"citationID":"AbAydUux","properties":{"formattedCitation":"\\super 3\\nosupersub{}","plainCitation":"3","noteIndex":0},"citationItems":[{"id":92,"uris":["http://zotero.org/users/15061285/items/7863MIQN"],"itemData":{"id":92,"type":"article-journal","abstract":"The Centiloid (CL) method enables quantitative values from Aβ-amyloid (Aβ) imaging to be expressed in a universal unit providing pathological, diagnostic and prognostic thresholds in clinical practice and research and allowing integration of multiple tracers and methods. The method was developed for 11C-PiB scans with zero CL set as the average in young normal subjects and 100 CL the average in subjects with mild Alzheimer’s disease (AD). The method allows derivation of equations to convert the uptake value of any tracer into the same standard CL units but first requires head-to-head comparison with 11C-PiB results. We derived the equation to express 18F-florbetaben (FBB) binding in CL units.","container-title":"European Journal of Nuclear Medicine and Molecular Imaging","DOI":"10.1007/s00259-017-3749-6","ISSN":"1619-7089","issue":"12","journalAbbreviation":"Eur J Nucl Med Mol Imaging","language":"en","page":"2053-2059","source":"Springer Link","title":"18F-Florbetaben PET beta-amyloid binding expressed in Centiloids","volume":"44","author":[{"family":"Rowe","given":"Christopher C."},{"family":"Doré","given":"Vincent"},{"family":"Jones","given":"Gareth"},{"family":"Baxendale","given":"David"},{"family":"Mulligan","given":"Rachel S."},{"family":"Bullich","given":"Santiago"},{"family":"Stephens","given":"Andrew W."},{"family":"De Santi","given":"Susan"},{"family":"Masters","given":"Colin L."},{"family":"Dinkelborg","given":"Ludger"},{"family":"Villemagne","given":"Victor L."}],"issued":{"date-parts":[["2017",11,1]]}}}],"schema":"https://github.com/citation-style-language/schema/raw/master/csl-citation.json"} </w:instrText>
      </w:r>
      <w:r w:rsidR="008A4505" w:rsidRPr="005C429C">
        <w:rPr>
          <w:rFonts w:ascii="Times New Roman" w:hAnsi="Times New Roman" w:cs="Times New Roman"/>
        </w:rPr>
        <w:fldChar w:fldCharType="separate"/>
      </w:r>
      <w:r w:rsidR="008A4505" w:rsidRPr="005C429C">
        <w:rPr>
          <w:rFonts w:ascii="Times New Roman" w:hAnsi="Times New Roman" w:cs="Times New Roman"/>
          <w:kern w:val="0"/>
          <w:szCs w:val="24"/>
          <w:vertAlign w:val="superscript"/>
        </w:rPr>
        <w:t>3</w:t>
      </w:r>
      <w:r w:rsidR="008A4505" w:rsidRPr="005C429C">
        <w:rPr>
          <w:rFonts w:ascii="Times New Roman" w:hAnsi="Times New Roman" w:cs="Times New Roman"/>
        </w:rPr>
        <w:fldChar w:fldCharType="end"/>
      </w:r>
      <w:r w:rsidRPr="005C429C">
        <w:rPr>
          <w:rFonts w:ascii="Times New Roman" w:hAnsi="Times New Roman" w:cs="Times New Roman"/>
        </w:rPr>
        <w:t xml:space="preserve">, flutemetamol </w:t>
      </w:r>
      <w:r w:rsidR="008A4505"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{"citationID":"4oEgxoiU","properties":{"formattedCitation":"\\super 4\\nosupersub{}","plainCitation":"4","noteIndex":0},"citationItems":[{"id":90,"uris":["http://zotero.org/users/15061285/items/V868CS79"],"itemData":{"id":90,"type":"article-journal","abstract":"To evaluate cerebral amyloid-β(Aβ) pathology in older adults with cognitive complaints, visual assessment of PET images is approved as the routine method for image interpretation. In research studies however, Aβ-PET semi-quantitative measures are associated with greater risk of progression to dementia; but until recently, these measures lacked standardization. Therefore, the Centiloid scale, providing standardized Aβ-PET semi-quantitation, was recently validated. We aimed to determine the predictive values of visual assessments and Centiloids in non-demented patients, using long-term progression to dementia as our standard of truth.","container-title":"European Journal of Nuclear Medicine and Molecular Imaging","DOI":"10.1007/s00259-020-04942-4","ISSN":"1619-7089","issue":"1","journalAbbreviation":"Eur J Nucl Med Mol Imaging","language":"en","page":"302-310","source":"Springer Link","title":"Defining a Centiloid scale threshold predicting long-term progression to dementia in patients attending the memory clinic: an [18F] flutemetamol amyloid PET study","title-short":"Defining a Centiloid scale threshold predicting long-term progression to dementia in patients attending the memory clinic","volume":"48","author":[{"family":"Hanseeuw","given":"Bernard J."},{"family":"Malotaux","given":"Vincent"},{"family":"Dricot","given":"Laurence"},{"family":"Quenon","given":"Lisa"},{"family":"Sznajer","given":"Yves"},{"family":"Cerman","given":"Jiri"},{"family":"Woodard","given":"John L."},{"family":"Buckley","given":"Christopher"},{"family":"Farrar","given":"Gill"},{"family":"Ivanoiu","given":"Adrian"},{"family":"Lhommel","given":"Renaud"}],"issued":{"date-parts":[["2021",1,1]]}}}],"schema":"https://github.com/citation-style-language/schema/raw/master/csl-citation.json"} </w:instrText>
      </w:r>
      <w:r w:rsidR="008A4505" w:rsidRPr="005C429C">
        <w:rPr>
          <w:rFonts w:ascii="Times New Roman" w:hAnsi="Times New Roman" w:cs="Times New Roman"/>
        </w:rPr>
        <w:fldChar w:fldCharType="separate"/>
      </w:r>
      <w:r w:rsidR="008A4505" w:rsidRPr="005C429C">
        <w:rPr>
          <w:rFonts w:ascii="Times New Roman" w:hAnsi="Times New Roman" w:cs="Times New Roman"/>
          <w:kern w:val="0"/>
          <w:szCs w:val="24"/>
          <w:vertAlign w:val="superscript"/>
        </w:rPr>
        <w:t>4</w:t>
      </w:r>
      <w:r w:rsidR="008A4505" w:rsidRPr="005C429C">
        <w:rPr>
          <w:rFonts w:ascii="Times New Roman" w:hAnsi="Times New Roman" w:cs="Times New Roman"/>
        </w:rPr>
        <w:fldChar w:fldCharType="end"/>
      </w:r>
      <w:r w:rsidRPr="005C429C">
        <w:rPr>
          <w:rFonts w:ascii="Times New Roman" w:hAnsi="Times New Roman" w:cs="Times New Roman"/>
        </w:rPr>
        <w:t>. We applied the regression equations reported in these studies to make the conversion of data from the Centiloid scale to the SUVR scale, according to the tracer used in each trial. Specifically, we used the following equations:</w:t>
      </w:r>
    </w:p>
    <w:p w14:paraId="7F736BAB" w14:textId="77777777" w:rsidR="00715DE1" w:rsidRPr="005C429C" w:rsidRDefault="00715DE1" w:rsidP="00DB55E9">
      <w:pPr>
        <w:jc w:val="both"/>
        <w:rPr>
          <w:rFonts w:ascii="Times New Roman" w:hAnsi="Times New Roman" w:cs="Times New Roman"/>
        </w:rPr>
      </w:pPr>
      <w:r w:rsidRPr="005C429C">
        <w:rPr>
          <w:rFonts w:ascii="Times New Roman" w:hAnsi="Times New Roman" w:cs="Times New Roman"/>
        </w:rPr>
        <w:t xml:space="preserve">- Florbetapir: </w:t>
      </w:r>
      <w:r w:rsidRPr="005C429C">
        <w:rPr>
          <w:rFonts w:ascii="Times New Roman" w:hAnsi="Times New Roman" w:cs="Times New Roman"/>
        </w:rPr>
        <w:tab/>
      </w:r>
      <w:r w:rsidRPr="005C429C">
        <w:rPr>
          <w:rFonts w:ascii="Times New Roman" w:hAnsi="Times New Roman" w:cs="Times New Roman"/>
        </w:rPr>
        <w:tab/>
        <w:t>Centiloid = 183 x SUVR – 177</w:t>
      </w:r>
    </w:p>
    <w:p w14:paraId="09F67B6E" w14:textId="77777777" w:rsidR="00715DE1" w:rsidRPr="005C429C" w:rsidRDefault="00715DE1" w:rsidP="00DB55E9">
      <w:pPr>
        <w:jc w:val="both"/>
        <w:rPr>
          <w:rFonts w:ascii="Times New Roman" w:hAnsi="Times New Roman" w:cs="Times New Roman"/>
        </w:rPr>
      </w:pPr>
      <w:r w:rsidRPr="005C429C">
        <w:rPr>
          <w:rFonts w:ascii="Times New Roman" w:hAnsi="Times New Roman" w:cs="Times New Roman"/>
        </w:rPr>
        <w:t xml:space="preserve">- Florbetaben: </w:t>
      </w:r>
      <w:r w:rsidRPr="005C429C">
        <w:rPr>
          <w:rFonts w:ascii="Times New Roman" w:hAnsi="Times New Roman" w:cs="Times New Roman"/>
        </w:rPr>
        <w:tab/>
      </w:r>
      <w:r w:rsidRPr="005C429C">
        <w:rPr>
          <w:rFonts w:ascii="Times New Roman" w:hAnsi="Times New Roman" w:cs="Times New Roman"/>
        </w:rPr>
        <w:tab/>
        <w:t>Centiloid = 153.4 x SUVR -154.9</w:t>
      </w:r>
    </w:p>
    <w:p w14:paraId="4FE9EBA0" w14:textId="77777777" w:rsidR="00715DE1" w:rsidRPr="005C429C" w:rsidRDefault="00715DE1" w:rsidP="00DB55E9">
      <w:pPr>
        <w:jc w:val="both"/>
        <w:rPr>
          <w:rFonts w:ascii="Times New Roman" w:hAnsi="Times New Roman" w:cs="Times New Roman"/>
        </w:rPr>
      </w:pPr>
      <w:r w:rsidRPr="005C429C">
        <w:rPr>
          <w:rFonts w:ascii="Times New Roman" w:hAnsi="Times New Roman" w:cs="Times New Roman"/>
        </w:rPr>
        <w:t xml:space="preserve">- Flutemetamol: </w:t>
      </w:r>
      <w:r w:rsidRPr="005C429C">
        <w:rPr>
          <w:rFonts w:ascii="Times New Roman" w:hAnsi="Times New Roman" w:cs="Times New Roman"/>
        </w:rPr>
        <w:tab/>
        <w:t>Centiloid = 116 x SUVR – 113.9</w:t>
      </w:r>
    </w:p>
    <w:p w14:paraId="5B16BD2D" w14:textId="33A5AF92" w:rsidR="00715DE1" w:rsidRPr="005C429C" w:rsidRDefault="00715DE1" w:rsidP="00DB55E9">
      <w:pPr>
        <w:jc w:val="both"/>
        <w:rPr>
          <w:rFonts w:ascii="Times New Roman" w:hAnsi="Times New Roman" w:cs="Times New Roman"/>
        </w:rPr>
      </w:pPr>
      <w:r w:rsidRPr="005C429C">
        <w:rPr>
          <w:rFonts w:ascii="Times New Roman" w:hAnsi="Times New Roman" w:cs="Times New Roman"/>
        </w:rPr>
        <w:t>These equations were originally applied to convert SUVR values recorded at a particular point in time. In our evidence base, the data are reported as the change from baseline so we apply each equation without the intercept terms (since these terms would cancel out when applying the equation to data at each time point, i.e., at baseline and follow-up). For trials in which the multiple tracers were used (e.g., florbetapir and florbetaben), we make the conversion using the average of the regression equations (i.e., averaging the coefficients).</w:t>
      </w:r>
    </w:p>
    <w:p w14:paraId="282CA854" w14:textId="77777777" w:rsidR="0006651C" w:rsidRPr="005C429C" w:rsidRDefault="0006651C" w:rsidP="00DB55E9">
      <w:pPr>
        <w:jc w:val="both"/>
        <w:rPr>
          <w:rFonts w:ascii="Times New Roman" w:hAnsi="Times New Roman" w:cs="Times New Roman"/>
        </w:rPr>
      </w:pPr>
    </w:p>
    <w:p w14:paraId="4308D272" w14:textId="6471F7FD" w:rsidR="00AD4C3C" w:rsidRPr="005C429C" w:rsidRDefault="00AD4C3C" w:rsidP="00DB55E9">
      <w:pPr>
        <w:jc w:val="both"/>
        <w:rPr>
          <w:rFonts w:ascii="Times New Roman" w:hAnsi="Times New Roman" w:cs="Times New Roman"/>
          <w:sz w:val="28"/>
          <w:szCs w:val="28"/>
        </w:rPr>
      </w:pPr>
      <w:r w:rsidRPr="005C429C">
        <w:rPr>
          <w:rFonts w:ascii="Times New Roman" w:hAnsi="Times New Roman" w:cs="Times New Roman"/>
          <w:sz w:val="28"/>
          <w:szCs w:val="28"/>
        </w:rPr>
        <w:t>Appendix B. Literature review</w:t>
      </w:r>
    </w:p>
    <w:p w14:paraId="60AF905E" w14:textId="41710312" w:rsidR="0006651C" w:rsidRPr="005C429C" w:rsidRDefault="0006651C" w:rsidP="00DB55E9">
      <w:pPr>
        <w:jc w:val="both"/>
        <w:rPr>
          <w:rFonts w:ascii="Times New Roman" w:hAnsi="Times New Roman" w:cs="Times New Roman"/>
        </w:rPr>
      </w:pPr>
      <w:r w:rsidRPr="005C429C">
        <w:rPr>
          <w:rFonts w:ascii="Times New Roman" w:hAnsi="Times New Roman" w:cs="Times New Roman"/>
        </w:rPr>
        <w:t xml:space="preserve">Three studies include the effect of anti-Aβ drugs on both PET Aβ and clinical outcome measures (ADAS-Cog, CDR-SOB and MMSE) </w:t>
      </w:r>
      <w:r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{"citationID":"PeAf1EzH","properties":{"formattedCitation":"\\super 5\\uc0\\u8211{}7\\nosupersub{}","plainCitation":"5–7","noteIndex":0},"citationItems":[{"id":41,"uris":["http://zotero.org/users/15061285/items/FZ766WUH"],"itemData":{"id":41,"type":"article-journal","abstract":"OBJECTIVE: To investigate the effects of monoclonal antibodies against Aβ on cognition, function, amyloid PET and other biomarkers, as well as risk for amyloid-related imaging abnormalities (ARIA) and other adverse events, in Alzheimer's disease (AD).\nMETHODS: Pubmed, Web of Science, ClinicalTrials.gov and gray literature were searched for phase III RCTs and random-effects meta-analyses were performed.\nRESULTS: Seventeen studies (12,585 patients) were included. Antibodies statistically improved the cognitive outcomes ADAS-Cog {SMD = -0.06 [95 % CI (-0.10; -0.02), I2 = 0%]} and MMSE {SMD = 0.05 [95 % CI (0.01; 0.09), I2 = 0%]} by small effect sizes, but did not improve the cognitive/functional measure CDR-SOB {SMD = -0.03 [95 % CI (-0.07; 0.01), I2 = 18 %]}. Moreover, antibodies decreased amyloid PET SUVR {SMD = -1.02 [95 % CI (-1.70; -0.34), I2 = 95 %]} and CSF p181-tau {SMD = -0.87 [95 % CI (-1.32; -0.43), I2 = 89 %]} by large effect sizes. They also increased risk for ARIA {RR = 4.30 [95 % CI (2.39; 7.77), I2 = 86 %]} by a large effect size. Antibody effects on reducing amyloid PET SUVR were correlated with their effects on improving ADAS-Cog (r = +0.68, p = 0.02). In subgroup analyses by individual drug, Aducanumab improved ADAS-Cog, CDR-SOB, ADCS-ADL by small effect sizes and decreased amyloid PET SUVR and CSF p181-tau by large effect sizes. Solanezumab improved ADAS-Cog and MMSE by small effect sizes, and increased (improved) CSF Aβ1-40 levels by a moderate effect size. Bapineuzumab, Gantenerumab and Crenezumab did not improve any clinical outcomes. Bapineuzumab and Gantenerumab decreased CSF p181-tau by a small and large effect size, respectively. All drugs except Solanezumab increased ARIA risk.\nCONCLUSIONS: In this meta-analysis of phase III trials in AD, we found that monoclonal antibodies against Aβ induced clinical improvements of small effect sizes, biomarker improvements of large effect sizes, and increases in risk for the hallmark adverse event, ARIA, by a large effect size, when all drugs were pooled together. Among individual drugs, Aducanumab produced the most favorable effects followed by Solanezumab. These findings provide moderate support for the continuous development of anti-Aβ monoclonal antibodies as a treatment for AD.","container-title":"Ageing Research Reviews","DOI":"10.1016/j.arr.2021.101339","ISSN":"1872-9649","journalAbbreviation":"Ageing Res Rev","language":"eng","note":"PMID: 33831607\nPMCID: PMC8161699","page":"101339","source":"PubMed","title":"Effects of monoclonal antibodies against amyloid-β on clinical and biomarker outcomes and adverse event risks: A systematic review and meta-analysis of phase III RCTs in Alzheimer's disease","title-short":"Effects of monoclonal antibodies against amyloid-β on clinical and biomarker outcomes and adverse event risks","volume":"68","author":[{"family":"Avgerinos","given":"Konstantinos I."},{"family":"Ferrucci","given":"Luigi"},{"family":"Kapogiannis","given":"Dimitrios"}],"issued":{"date-parts":[["2021",7]]}}},{"id":47,"uris":["http://zotero.org/users/15061285/items/QURLUY3N"],"itemData":{"id":47,"type":"article-journal","abstract":"BACKGROUND: Monoclonal antibodies (mAbs) are currently among the most investigated targets for potential disease-modifying therapies in Alzheimer's disease (AD).\nOBJECTIVE: Our objectives were to identify all registered trials investigating mAbs in MCI due to AD or AD at any stage, retrieve available published and unpublished data from all registered trials, and analyze data on safety and efficacy outcomes.\nMETHODS: A systematic search of all registered trials on ClinicalTrials.gov and EUCT was performed. Available results were searched on both platforms and on PubMed, ISI Web of Knowledge, and The Cochrane Library.\nRESULTS: Overall, 101 studies were identified on 27 mAbs. Results were available for 50 trials investigating 12 mAbs. For 18 trials, data were available from both published and unpublished sources, for 21 trials only from published sources, and for 11 trials only from unpublished sources. Meta-analyses of amyloid-related imaging abnormalities (ARIA) events showed overall risk ratios of 10.65 for ARIA-E and of 1.75 for ARIA-H. The meta-analysis of PET-SUVR showed an overall significant effect of mAbs in reducing amyloid (SMD -0.88), but when considering clinical efficacy, data on CDR-SB showed that treated patients had a statistically significant but clinically non-relevant lower worsening (MD -0.15).\nCONCLUSION: Our results suggest that the risk-benefit profile of mAbs remains unclear. Research should focus on clarifying the effect of amyloid on cognitive decline, providing data on treatment response rate, and accounting for minimal clinically important difference. Research on mAbs should also investigate the possible long-term impact of ARIA events, including potential factors predicting their onset.","container-title":"Journal of Alzheimer's disease: JAD","DOI":"10.3233/JAD-220046","ISSN":"1875-8908","issue":"1","journalAbbreviation":"J Alzheimers Dis","language":"eng","note":"PMID: 35275549\nPMCID: PMC9198746","page":"101-129","source":"PubMed","title":"Safety and Efficacy of Monoclonal Antibodies for Alzheimer's Disease: A Systematic Review and Meta-Analysis of Published and Unpublished Clinical Trials","title-short":"Safety and Efficacy of Monoclonal Antibodies for Alzheimer's Disease","volume":"87","author":[{"family":"Lacorte","given":"Eleonora"},{"family":"Ancidoni","given":"Antonio"},{"family":"Zaccaria","given":"Valerio"},{"family":"Remoli","given":"Giulia"},{"family":"Tariciotti","given":"Leonardo"},{"family":"Bellomo","given":"Guido"},{"family":"Sciancalepore","given":"Francesco"},{"family":"Corbo","given":"Massimo"},{"family":"Lombardo","given":"Flavia L."},{"family":"Bacigalupo","given":"Ilaria"},{"family":"Canevelli","given":"Marco"},{"family":"Piscopo","given":"Paola"},{"family":"Vanacore","given":"Nicola"}],"issued":{"date-parts":[["2022"]]}}},{"id":111,"uris":["http://zotero.org/users/15061285/items/BAGXFDVG"],"itemData":{"id":111,"type":"article-journal","abstract":"Objective\nTo investigate the effects of the three kinds of anti-amyloid-β (Aβ) drugs on cognitive and other functions, fluid and neuroimaging biomarkers, and safety on patients with Alzheimer’s disease (AD), and rank the three kinds of anti-Aβ drugs.\nMethods\nWe searched Medline, Embase, Cochrane Central Register of Controlled Trials, ClinicalTrials.gov, and AlzForum from inception to January 21, 2023 to include randomized controlled clinical trials. Random effects meta-analyses were performed.\nResults\nForty-one clinical trials (20929 participants, 9167 male) were included. Anti-Aβ drugs had significant but relatively low efficacy in preventing cognitive decline (ADAS-Cog SMD −0.07, 95% CI: −0.10 to −0.03, p &lt; 0.001; CDR-SOB −0.05, −0.09 to −0.01, p = 0.017). Instrumental variable meta-analysis and trial sequential analysis confirmed the reliability of the pooled estimation. Beneficial effects were also observed by assessing other cognitive and activity of daily living scales and biomarkers, with acceptable safety of anti-Aβ drugs. Meta-regression demonstrated significant association between higher baseline mini-mental statement examination scores (MMSE) and better cognitive protective effects on cognitive function (ADAS-Cog β: −0.02, −0.05 to 0.00, p = 0.017) and clearance of pathological productions of anti-Aβ drugs. Network meta-analysis ranked the passive immunotherapy drugs to have the best cognitive efficacy, followed by active immunotherapy and small molecule drugs.\nConclusion\nAnti-Aβ drugs have relatively low efficacy in preventing cognitive decline, and they reduce pathological productions with acceptable safety. Patients with higher baseline MMSE scores benefit more from anti-Aβ drugs. Passive immunotherapy anti-Aβ drugs show relatively better efficacy than active immunotherapy and small molecule anti-Aβ drugs.","container-title":"Ageing Research Reviews","DOI":"10.1016/j.arr.2023.101959","ISSN":"1568-1637","journalAbbreviation":"Ageing Research Reviews","page":"101959","source":"ScienceDirect","title":"Effects of three kinds of anti-amyloid-β drugs on clinical, biomarker, neuroimaging outcomes and safety indexes: A systematic review and meta-analysis of phase II/III clinical trials in Alzheimer’s disease","title-short":"Effects of three kinds of anti-amyloid-β drugs on clinical, biomarker, neuroimaging outcomes and safety indexes","volume":"88","author":[{"family":"Lyu","given":"Diyang"},{"family":"Lyu","given":"Xuanxin"},{"family":"Huang","given":"Li"},{"family":"Fang","given":"Boyan"}],"issued":{"date-parts":[["2023",7,1]]}}}],"schema":"https://github.com/citation-style-language/schema/raw/master/csl-citation.json"} </w:instrText>
      </w:r>
      <w:r w:rsidRPr="005C429C">
        <w:rPr>
          <w:rFonts w:ascii="Times New Roman" w:hAnsi="Times New Roman" w:cs="Times New Roman"/>
        </w:rPr>
        <w:fldChar w:fldCharType="separate"/>
      </w:r>
      <w:r w:rsidR="008A4505" w:rsidRPr="005C429C">
        <w:rPr>
          <w:rFonts w:ascii="Times New Roman" w:hAnsi="Times New Roman" w:cs="Times New Roman"/>
          <w:kern w:val="0"/>
          <w:szCs w:val="24"/>
          <w:vertAlign w:val="superscript"/>
        </w:rPr>
        <w:t>5–7</w:t>
      </w:r>
      <w:r w:rsidRPr="005C429C">
        <w:rPr>
          <w:rFonts w:ascii="Times New Roman" w:hAnsi="Times New Roman" w:cs="Times New Roman"/>
        </w:rPr>
        <w:fldChar w:fldCharType="end"/>
      </w:r>
      <w:r w:rsidRPr="005C429C">
        <w:rPr>
          <w:rFonts w:ascii="Times New Roman" w:hAnsi="Times New Roman" w:cs="Times New Roman"/>
        </w:rPr>
        <w:t xml:space="preserve">. Although the results of these meta-analyses showed an overall significant effect in reducing Aβ, the effect on the clinical outcome measures varied across the meta-analyses. Avgerinos </w:t>
      </w:r>
      <w:r w:rsidRPr="005C429C">
        <w:rPr>
          <w:rFonts w:ascii="Times New Roman" w:hAnsi="Times New Roman" w:cs="Times New Roman"/>
          <w:i/>
          <w:iCs/>
        </w:rPr>
        <w:t>et al.</w:t>
      </w:r>
      <w:r w:rsidRPr="005C429C">
        <w:rPr>
          <w:rFonts w:ascii="Times New Roman" w:hAnsi="Times New Roman" w:cs="Times New Roman"/>
        </w:rPr>
        <w:t xml:space="preserve"> </w:t>
      </w:r>
      <w:r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{"citationID":"c209pB0l","properties":{"formattedCitation":"\\super 5\\nosupersub{}","plainCitation":"5","noteIndex":0},"citationItems":[{"id":41,"uris":["http://zotero.org/users/15061285/items/FZ766WUH"],"itemData":{"id":41,"type":"article-journal","abstract":"OBJECTIVE: To investigate the effects of monoclonal antibodies against Aβ on cognition, function, amyloid PET and other biomarkers, as well as risk for amyloid-related imaging abnormalities (ARIA) and other adverse events, in Alzheimer's disease (AD).\nMETHODS: Pubmed, Web of Science, ClinicalTrials.gov and gray literature were searched for phase III RCTs and random-effects meta-analyses were performed.\nRESULTS: Seventeen studies (12,585 patients) were included. Antibodies statistically improved the cognitive outcomes ADAS-Cog {SMD = -0.06 [95 % CI (-0.10; -0.02), I2 = 0%]} and MMSE {SMD = 0.05 [95 % CI (0.01; 0.09), I2 = 0%]} by small effect sizes, but did not improve the cognitive/functional measure CDR-SOB {SMD = -0.03 [95 % CI (-0.07; 0.01), I2 = 18 %]}. Moreover, antibodies decreased amyloid PET SUVR {SMD = -1.02 [95 % CI (-1.70; -0.34), I2 = 95 %]} and CSF p181-tau {SMD = -0.87 [95 % CI (-1.32; -0.43), I2 = 89 %]} by large effect sizes. They also increased risk for ARIA {RR = 4.30 [95 % CI (2.39; 7.77), I2 = 86 %]} by a large effect size. Antibody effects on reducing amyloid PET SUVR were correlated with their effects on improving ADAS-Cog (r = +0.68, p = 0.02). In subgroup analyses by individual drug, Aducanumab improved ADAS-Cog, CDR-SOB, ADCS-ADL by small effect sizes and decreased amyloid PET SUVR and CSF p181-tau by large effect sizes. Solanezumab improved ADAS-Cog and MMSE by small effect sizes, and increased (improved) CSF Aβ1-40 levels by a moderate effect size. Bapineuzumab, Gantenerumab and Crenezumab did not improve any clinical outcomes. Bapineuzumab and Gantenerumab decreased CSF p181-tau by a small and large effect size, respectively. All drugs except Solanezumab increased ARIA risk.\nCONCLUSIONS: In this meta-analysis of phase III trials in AD, we found that monoclonal antibodies against Aβ induced clinical improvements of small effect sizes, biomarker improvements of large effect sizes, and increases in risk for the hallmark adverse event, ARIA, by a large effect size, when all drugs were pooled together. Among individual drugs, Aducanumab produced the most favorable effects followed by Solanezumab. These findings provide moderate support for the continuous development of anti-Aβ monoclonal antibodies as a treatment for AD.","container-title":"Ageing Research Reviews","DOI":"10.1016/j.arr.2021.101339","ISSN":"1872-9649","journalAbbreviation":"Ageing Res Rev","language":"eng","note":"PMID: 33831607\nPMCID: PMC8161699","page":"101339","source":"PubMed","title":"Effects of monoclonal antibodies against amyloid-β on clinical and biomarker outcomes and adverse event risks: A systematic review and meta-analysis of phase III RCTs in Alzheimer's disease","title-short":"Effects of monoclonal antibodies against amyloid-β on clinical and biomarker outcomes and adverse event risks","volume":"68","author":[{"family":"Avgerinos","given":"Konstantinos I."},{"family":"Ferrucci","given":"Luigi"},{"family":"Kapogiannis","given":"Dimitrios"}],"issued":{"date-parts":[["2021",7]]}}}],"schema":"https://github.com/citation-style-language/schema/raw/master/csl-citation.json"} </w:instrText>
      </w:r>
      <w:r w:rsidRPr="005C429C">
        <w:rPr>
          <w:rFonts w:ascii="Times New Roman" w:hAnsi="Times New Roman" w:cs="Times New Roman"/>
        </w:rPr>
        <w:fldChar w:fldCharType="separate"/>
      </w:r>
      <w:r w:rsidR="008A4505" w:rsidRPr="005C429C">
        <w:rPr>
          <w:rFonts w:ascii="Times New Roman" w:hAnsi="Times New Roman" w:cs="Times New Roman"/>
          <w:kern w:val="0"/>
          <w:szCs w:val="24"/>
          <w:vertAlign w:val="superscript"/>
        </w:rPr>
        <w:t>5</w:t>
      </w:r>
      <w:r w:rsidRPr="005C429C">
        <w:rPr>
          <w:rFonts w:ascii="Times New Roman" w:hAnsi="Times New Roman" w:cs="Times New Roman"/>
        </w:rPr>
        <w:fldChar w:fldCharType="end"/>
      </w:r>
      <w:r w:rsidRPr="005C429C">
        <w:rPr>
          <w:rFonts w:ascii="Times New Roman" w:hAnsi="Times New Roman" w:cs="Times New Roman"/>
        </w:rPr>
        <w:t xml:space="preserve"> found a small positive effect of anti-Aβ drugs on both ADAS-Cog and MMSE, but no effect was evident on CDR-SOB based on 17 studies. Lacorte </w:t>
      </w:r>
      <w:r w:rsidRPr="005C429C">
        <w:rPr>
          <w:rFonts w:ascii="Times New Roman" w:hAnsi="Times New Roman" w:cs="Times New Roman"/>
          <w:i/>
          <w:iCs/>
        </w:rPr>
        <w:t>et al.</w:t>
      </w:r>
      <w:r w:rsidRPr="005C429C">
        <w:rPr>
          <w:rFonts w:ascii="Times New Roman" w:hAnsi="Times New Roman" w:cs="Times New Roman"/>
        </w:rPr>
        <w:t xml:space="preserve"> </w:t>
      </w:r>
      <w:r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{"citationID":"PCUwjYpP","properties":{"formattedCitation":"\\super 6\\nosupersub{}","plainCitation":"6","noteIndex":0},"citationItems":[{"id":47,"uris":["http://zotero.org/users/15061285/items/QURLUY3N"],"itemData":{"id":47,"type":"article-journal","abstract":"BACKGROUND: Monoclonal antibodies (mAbs) are currently among the most investigated targets for potential disease-modifying therapies in Alzheimer's disease (AD).\nOBJECTIVE: Our objectives were to identify all registered trials investigating mAbs in MCI due to AD or AD at any stage, retrieve available published and unpublished data from all registered trials, and analyze data on safety and efficacy outcomes.\nMETHODS: A systematic search of all registered trials on ClinicalTrials.gov and EUCT was performed. Available results were searched on both platforms and on PubMed, ISI Web of Knowledge, and The Cochrane Library.\nRESULTS: Overall, 101 studies were identified on 27 mAbs. Results were available for 50 trials investigating 12 mAbs. For 18 trials, data were available from both published and unpublished sources, for 21 trials only from published sources, and for 11 trials only from unpublished sources. Meta-analyses of amyloid-related imaging abnormalities (ARIA) events showed overall risk ratios of 10.65 for ARIA-E and of 1.75 for ARIA-H. The meta-analysis of PET-SUVR showed an overall significant effect of mAbs in reducing amyloid (SMD -0.88), but when considering clinical efficacy, data on CDR-SB showed that treated patients had a statistically significant but clinically non-relevant lower worsening (MD -0.15).\nCONCLUSION: Our results suggest that the risk-benefit profile of mAbs remains unclear. Research should focus on clarifying the effect of amyloid on cognitive decline, providing data on treatment response rate, and accounting for minimal clinically important difference. Research on mAbs should also investigate the possible long-term impact of ARIA events, including potential factors predicting their onset.","container-title":"Journal of Alzheimer's disease: JAD","DOI":"10.3233/JAD-220046","ISSN":"1875-8908","issue":"1","journalAbbreviation":"J Alzheimers Dis","language":"eng","note":"PMID: 35275549\nPMCID: PMC9198746","page":"101-129","source":"PubMed","title":"Safety and Efficacy of Monoclonal Antibodies for Alzheimer's Disease: A Systematic Review and Meta-Analysis of Published and Unpublished Clinical Trials","title-short":"Safety and Efficacy of Monoclonal Antibodies for Alzheimer's Disease","volume":"87","author":[{"family":"Lacorte","given":"Eleonora"},{"family":"Ancidoni","given":"Antonio"},{"family":"Zaccaria","given":"Valerio"},{"family":"Remoli","given":"Giulia"},{"family":"Tariciotti","given":"Leonardo"},{"family":"Bellomo","given":"Guido"},{"family":"Sciancalepore","given":"Francesco"},{"family":"Corbo","given":"Massimo"},{"family":"Lombardo","given":"Flavia L."},{"family":"Bacigalupo","given":"Ilaria"},{"family":"Canevelli","given":"Marco"},{"family":"Piscopo","given":"Paola"},{"family":"Vanacore","given":"Nicola"}],"issued":{"date-parts":[["2022"]]}}}],"schema":"https://github.com/citation-style-language/schema/raw/master/csl-citation.json"} </w:instrText>
      </w:r>
      <w:r w:rsidRPr="005C429C">
        <w:rPr>
          <w:rFonts w:ascii="Times New Roman" w:hAnsi="Times New Roman" w:cs="Times New Roman"/>
        </w:rPr>
        <w:fldChar w:fldCharType="separate"/>
      </w:r>
      <w:r w:rsidR="008A4505" w:rsidRPr="005C429C">
        <w:rPr>
          <w:rFonts w:ascii="Times New Roman" w:hAnsi="Times New Roman" w:cs="Times New Roman"/>
          <w:kern w:val="0"/>
          <w:szCs w:val="24"/>
          <w:vertAlign w:val="superscript"/>
        </w:rPr>
        <w:t>6</w:t>
      </w:r>
      <w:r w:rsidRPr="005C429C">
        <w:rPr>
          <w:rFonts w:ascii="Times New Roman" w:hAnsi="Times New Roman" w:cs="Times New Roman"/>
        </w:rPr>
        <w:fldChar w:fldCharType="end"/>
      </w:r>
      <w:r w:rsidRPr="005C429C">
        <w:rPr>
          <w:rFonts w:ascii="Times New Roman" w:hAnsi="Times New Roman" w:cs="Times New Roman"/>
        </w:rPr>
        <w:t xml:space="preserve"> identified and found a negative effect of anti-Aβ drugs on CDR-SOB after performing a synthesis. Lyu </w:t>
      </w:r>
      <w:r w:rsidRPr="005C429C">
        <w:rPr>
          <w:rFonts w:ascii="Times New Roman" w:hAnsi="Times New Roman" w:cs="Times New Roman"/>
          <w:i/>
          <w:iCs/>
        </w:rPr>
        <w:t>et al.</w:t>
      </w:r>
      <w:r w:rsidRPr="005C429C">
        <w:rPr>
          <w:rFonts w:ascii="Times New Roman" w:hAnsi="Times New Roman" w:cs="Times New Roman"/>
        </w:rPr>
        <w:t xml:space="preserve"> </w:t>
      </w:r>
      <w:r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{"citationID":"Hg2a0Q9K","properties":{"formattedCitation":"\\super 7\\nosupersub{}","plainCitation":"7","noteIndex":0},"citationItems":[{"id":111,"uris":["http://zotero.org/users/15061285/items/BAGXFDVG"],"itemData":{"id":111,"type":"article-journal","abstract":"Objective\nTo investigate the effects of the three kinds of anti-amyloid-β (Aβ) drugs on cognitive and other functions, fluid and neuroimaging biomarkers, and safety on patients with Alzheimer’s disease (AD), and rank the three kinds of anti-Aβ drugs.\nMethods\nWe searched Medline, Embase, Cochrane Central Register of Controlled Trials, ClinicalTrials.gov, and AlzForum from inception to January 21, 2023 to include randomized controlled clinical trials. Random effects meta-analyses were performed.\nResults\nForty-one clinical trials (20929 participants, 9167 male) were included. Anti-Aβ drugs had significant but relatively low efficacy in preventing cognitive decline (ADAS-Cog SMD −0.07, 95% CI: −0.10 to −0.03, p &lt; 0.001; CDR-SOB −0.05, −0.09 to −0.01, p = 0.017). Instrumental variable meta-analysis and trial sequential analysis confirmed the reliability of the pooled estimation. Beneficial effects were also observed by assessing other cognitive and activity of daily living scales and biomarkers, with acceptable safety of anti-Aβ drugs. Meta-regression demonstrated significant association between higher baseline mini-mental statement examination scores (MMSE) and better cognitive protective effects on cognitive function (ADAS-Cog β: −0.02, −0.05 to 0.00, p = 0.017) and clearance of pathological productions of anti-Aβ drugs. Network meta-analysis ranked the passive immunotherapy drugs to have the best cognitive efficacy, followed by active immunotherapy and small molecule drugs.\nConclusion\nAnti-Aβ drugs have relatively low efficacy in preventing cognitive decline, and they reduce pathological productions with acceptable safety. Patients with higher baseline MMSE scores benefit more from anti-Aβ drugs. Passive immunotherapy anti-Aβ drugs show relatively better efficacy than active immunotherapy and small molecule anti-Aβ drugs.","container-title":"Ageing Research Reviews","DOI":"10.1016/j.arr.2023.101959","ISSN":"1568-1637","journalAbbreviation":"Ageing Research Reviews","page":"101959","source":"ScienceDirect","title":"Effects of three kinds of anti-amyloid-β drugs on clinical, biomarker, neuroimaging outcomes and safety indexes: A systematic review and meta-analysis of phase II/III clinical trials in Alzheimer’s disease","title-short":"Effects of three kinds of anti-amyloid-β drugs on clinical, biomarker, neuroimaging outcomes and safety indexes","volume":"88","author":[{"family":"Lyu","given":"Diyang"},{"family":"Lyu","given":"Xuanxin"},{"family":"Huang","given":"Li"},{"family":"Fang","given":"Boyan"}],"issued":{"date-parts":[["2023",7,1]]}}}],"schema":"https://github.com/citation-style-language/schema/raw/master/csl-citation.json"} </w:instrText>
      </w:r>
      <w:r w:rsidRPr="005C429C">
        <w:rPr>
          <w:rFonts w:ascii="Times New Roman" w:hAnsi="Times New Roman" w:cs="Times New Roman"/>
        </w:rPr>
        <w:fldChar w:fldCharType="separate"/>
      </w:r>
      <w:r w:rsidR="008A4505" w:rsidRPr="005C429C">
        <w:rPr>
          <w:rFonts w:ascii="Times New Roman" w:hAnsi="Times New Roman" w:cs="Times New Roman"/>
          <w:kern w:val="0"/>
          <w:szCs w:val="24"/>
          <w:vertAlign w:val="superscript"/>
        </w:rPr>
        <w:t>7</w:t>
      </w:r>
      <w:r w:rsidRPr="005C429C">
        <w:rPr>
          <w:rFonts w:ascii="Times New Roman" w:hAnsi="Times New Roman" w:cs="Times New Roman"/>
        </w:rPr>
        <w:fldChar w:fldCharType="end"/>
      </w:r>
      <w:r w:rsidRPr="005C429C">
        <w:rPr>
          <w:rFonts w:ascii="Times New Roman" w:hAnsi="Times New Roman" w:cs="Times New Roman"/>
        </w:rPr>
        <w:t xml:space="preserve"> found significant effects on ADAS-Cog, CDR-SOB and MMSE. </w:t>
      </w:r>
    </w:p>
    <w:p w14:paraId="0D2F5701" w14:textId="156DD9B2" w:rsidR="00B63A86" w:rsidRDefault="0006651C" w:rsidP="00DB55E9">
      <w:pPr>
        <w:jc w:val="both"/>
        <w:rPr>
          <w:rFonts w:ascii="Times New Roman" w:hAnsi="Times New Roman" w:cs="Times New Roman"/>
        </w:rPr>
      </w:pPr>
      <w:r w:rsidRPr="005C429C">
        <w:rPr>
          <w:rFonts w:ascii="Times New Roman" w:hAnsi="Times New Roman" w:cs="Times New Roman"/>
        </w:rPr>
        <w:t xml:space="preserve">There were </w:t>
      </w:r>
      <w:r w:rsidR="009D6087" w:rsidRPr="005C429C">
        <w:rPr>
          <w:rFonts w:ascii="Times New Roman" w:hAnsi="Times New Roman" w:cs="Times New Roman"/>
        </w:rPr>
        <w:t>six</w:t>
      </w:r>
      <w:r w:rsidRPr="005C429C">
        <w:rPr>
          <w:rFonts w:ascii="Times New Roman" w:hAnsi="Times New Roman" w:cs="Times New Roman"/>
        </w:rPr>
        <w:t xml:space="preserve"> meta-analyses </w:t>
      </w:r>
      <w:r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{"citationID":"0ZOi5uNR","properties":{"formattedCitation":"\\super 8\\uc0\\u8211{}13\\nosupersub{}","plainCitation":"8–13","noteIndex":0},"citationItems":[{"id":75,"uris":["http://zotero.org/users/15061285/items/7C96X8VN"],"itemData":{"id":75,"type":"article-journal","abstract":"The risk-benefit profile of anti-Aβ monoclonal antibodies (mAbs) in Alzheimer's disease (AD) remains unclear, especially concerning their safety and overall effects on AD progression and cognitive function. Here, we investigated cognitive, biomarker and side effects of anti-Aβ mAbs in large phase III randomized placebo-controlled clinical trials (RCTs) in sporadic AD. The search was performed on Google Scholar, PubMed and ClinicalTrials.gov by applying Jadad score to evaluate the methodological quality of the reports. Studies were excluded if they scored &lt; 3 on Jadad scale or if they analyzed less than 200 sporadic AD patients. We followed PRISMA guidelines and DerSimonian-Laird random-effects model in R. Primary outcomes were cognitive: AD Assessment Scale-Cognitive Subscale (ADAS-Cog), Mini Mental State Examination (MMSE) and Clinical Dementia Rating Scale-sum of Boxes (CDR-SB). Secondary and tertiary outcomes included biomarkers of Aβ and tau pathology, adverse events, and performance on Alzheimer's Disease Cooperative Study - Activities of Daily Living Scale. The meta-analysis included 14,980 patients in 14 studies and four mAbs: Bapineuzumab, Aducanumab, Solanezumab and Lecanemab. The results of this study suggest that anti-Aβ mAbs statistically improved cognitive and biomarker outcomes, particularly Aducanumab and Lecanemab. However, while cognitive effects were of small effect sizes, these drugs considerably increased risk of side effects such as Amyloid Related Imaging Abnormalities (ARIA), especially in APOE-ε4 carriers. Meta-regression revealed that higher (better) baseline MMSE score was associated with improved ADAS Cog and CDR-SB. In order to improve reproducibility and update the analysis in the future, we developed AlzMeta.app, web-based application freely available at https://alzmetaapp.shinyapps.io/alzmeta/.","container-title":"Ageing Research Reviews","DOI":"10.1016/j.arr.2023.102012","ISSN":"1872-9649","journalAbbreviation":"Ageing Res Rev","language":"eng","note":"PMID: 37423541","page":"102012","source":"PubMed","title":"Efficacy and safety of anti-amyloid-β monoclonal antibodies in current Alzheimer's disease phase III clinical trials: A systematic review and interactive web app-based meta-analysis","title-short":"Efficacy and safety of anti-amyloid-β monoclonal antibodies in current Alzheimer's disease phase III clinical trials","volume":"90","author":[{"family":"Jeremic","given":"Danko"},{"family":"Navarro-López","given":"Juan D."},{"family":"Jiménez-Díaz","given":"Lydia"}],"issued":{"date-parts":[["2023",9]]}}},{"id":44,"uris":["http://zotero.org/users/15061285/items/8EPE5Z7J"],"itemData":{"id":44,"type":"article-journal","abstract":"Numerous clinical trials of anti-amyloid beta (Aβ) immunotherapy in Alzheimer's disease have been performed. None of these have provided convincing evidence for beneficial effects. Using traditional frequentist meta-analysis, the conclusion is that there is absence of evidence for a therapeutic effect, with a point estimate effect size of 0.05 (95% confidence interval -0.00 to 0.10, P = .055). In addition, this non-significant effect equates to 0.4 points per year on the cognitive subscale of the Alzheimer's Disease Assessment Scale. This is well below the minimally clinically important difference. Bayesian meta-analysis of these trial data provides strong evidence of absence of a therapeutic effect, with a Bayes factor of 11.27 in favor of the null hypothesis, opposed to a Bayes factor of 0.09 in favor of a treatment effect. Bayesian analysis is particularly valuable in this context of repeatedly reported small, non-significant effect sizes in individual trials. Mechanisms other than removal of Aβ from the brain may be probed to slow progression of Alzheimer's disease.","container-title":"Alzheimer's &amp; Dementia: The Journal of the Alzheimer's Association","DOI":"10.1002/alz.12379","ISSN":"1552-5279","issue":"6","journalAbbreviation":"Alzheimers Dement","language":"eng","note":"PMID: 34057297\nPMCID: PMC8251763","page":"1051-1055","source":"PubMed","title":"Bayes analysis supports null hypothesis of anti-amyloid beta therapy in Alzheimer's disease","volume":"17","author":[{"family":"Richard","given":"Edo"},{"family":"Brok","given":"Melina G. H. E.","non-dropping-particle":"den"},{"family":"Gool","given":"Willem A.","non-dropping-particle":"van"}],"issued":{"date-parts":[["2021",6]]}}},{"id":113,"uris":["http://zotero.org/users/15061285/items/XBZ6CBVU"],"itemData":{"id":113,"type":"article-journal","abstract":"Background For the last 20 years, the amyloid-beta (Aβ) cascade hypothesis has been dominant in the research of disease-modifying therapeutics, with spent of financial and clinical resources in potential drugs targeting Aβ peptide production or clearance. (1) In this context, monoclonal antibodies targeting beta-amyloid (Aβ-mAbs) are being tested to reduce the amyloid burden in patients with Alzheimer’s Disease (AD). (2) However, the cognitive impact of Aβ-mAbs remains controversial. (3) We aim to evaluate the conflicting results of previous studies using a meta-analysis. Method We searched PubMed, Embase, and Cochrane databases, following until April 2021, using the search terms: ”Alzheimer's disease” OR ”dementia” cross-referenced with ”monoclonal antibodies”, considering the synonyms. Eligible articles were randomized clinical trials with Aβ-mAbs that reported cognitive outcomes. The cognitive function was assessed by Alzheimer’s Disease Assessment Scale (ADAS-cog) and Mini-Mental State-Exam (MMSE). We performed a meta-analysis comparing mAbs and placebo, considering a minimal significant clinical change of 3 points in ADAS-Cog and 2 points in MMSE. Result We found 12 eligible studies in 443 identified records, involving 6736 patients, mean age 71.4 ± 2. We found a small benefit in cognitive outcomes in patients treated with Aβ-mAbs: ADAS-Cog: mean difference (MD) = - 0.65; 95% CI (-1.05 to - 0.26); I² = 12%; (p = 0.001) and MMSE: MD = 0.40; 95% CI (0.18 to 0.63); I² = 10%; (p = 0.0004). The Funnel plot and Egger’s test did not show publication bias. MD was below the minimal clinically relevant change in both scales. Conclusion Aβ-mAbs may have a positive cognitive benefit in AD patients. However, the impact magnitude is small, not reaching minimal clinically relevant change for these scales. References: (1) Panza F, Lozupone M, Seripa D, Imbimbo BP. Amyloid-β immunotherapy for alzheimer disease: Is it now a long shot? Ann Neurol. 2019 Mar;85(3):303–15. (2) Liu J, Yang B, Ke J, Li W, Suen W-C. Antibody-Based Drugs and Approaches Against Amyloid-β Species for Alzheimer’s Disease Immunotherapy. Drugs Aging. 2016 Oct;33(10):685–97. (3) Panza F, Lozupone M, Logroscino G, Imbimbo BP. A critical appraisal of amyloid-β-targeting therapies for Alzheimer disease. Nat Rev Neurol. 2019 Feb;15(2):73–88.","container-title":"Alzheimer's &amp; Dementia","DOI":"10.1002/alz.057778","ISSN":"1552-5279","issue":"S9","language":"en","license":"© 2021 the Alzheimer's Association","note":"_eprint: https://onlinelibrary.wiley.com/doi/pdf/10.1002/alz.057778","page":"e057778","source":"Wiley Online Library","title":"Cognitive outcomes of anti-amyloid-β monoclonal antibodies in patients with Alzheimer's disease: A systematic review and meta-analysis of randomized controlled trials","title-short":"Cognitive outcomes of anti-amyloid-β monoclonal antibodies in patients with Alzheimer's disease","volume":"17","author":[{"family":"Fernandez","given":"Paulo Eduardo Lahoz"},{"family":"Silva","given":"Guilherme Diogo"}],"issued":{"date-parts":[["2021"]]}}},{"id":133,"uris":["http://zotero.org/users/15061285/items/6RRZYPDW"],"itemData":{"id":133,"type":"article-journal","abstract":"In 2021, aducanumab, an immunotherapy targeting amyloid-β, was approved for Alzheimer's disease (AD) by the US Food and Drug Administration thanks to positive results on a putative biological surrogate marker. This approval has raised an unprecedented controversy. It was followed by a refusal of the European Medicine Agency, which does not allow the marketing of drugs solely on biological arguments and raised safety issues, and important US coverage limitations by the Centers for Medicare &amp; Medicaid Services. Two other anti-amyloid immunotherapies showed significant results regarding a clinical outcome in phase 2 trials, and five drugs are being studied in phase 3 trials. Compared to those tested in previous trials of the 2010s, the common feature and novelty of these anti-amyloid immunotherapies is their ability to induce a high clearance of amyloid load, as measured with positron emission tomography, in the brain of early-stage biomarker-proven AD patients. Here, we review the available evidence regarding efficacy and safety data and medico-economical aspects for high-clearance anti-amyloid immunotherapies. We also perform frequentist and Bayesian meta-analyses of the clinical efficacy and safety of the highest dose groups from the two aducanumab phase 3 trials and the donanemab and lecanemab phase 2 trials. When pooled together, the data from high-clearance anti-amyloid immunotherapies trials confirm a statistically significant clinical effect of these drugs on cognitive decline after 18 months (difference in cognitive decline measured with CDR-SB after 18 months between the high dose immunotherapy groups vs. placebo = -0.24 points; P=0.04, frequentist random-effect model), with results on ADAS-Cog being the most statistically robust. However, this effect remains below the previously established minimal clinically relevant values. In parallel, the drugs significantly increased the occurrence of amyloid-related imaging abnormalities-edema (ARIA-E: risk ratio=13.39; P&lt;0.0001), ARIA-hemorrhage (risk ratio=2.78; P=0.0002), and symptomatic and serious ARIA (7/1321=0.53% in the high dose groups versus 0/1446 in the placebo groups; risk ratio=6.44; P=0.04). The risk/benefit ratio of high-clearance immunotherapies in early AD is so far questionable after 18 months. Identifying subgroups of better responders, the perspective of combination therapies, and a longer follow-up may help improve their clinical relevance. Finally, the preliminary evidence from medico-economical analyses seems to indicate that the current cost of aducanumab in the US is not in reasonable alignment with its clinical benefits.","container-title":"Revue Neurologique","DOI":"10.1016/j.neurol.2022.06.012","ISSN":"0035-3787","issue":"10","journalAbbreviation":"Rev Neurol (Paris)","language":"eng","note":"PMID: 36184326","page":"1011-1030","source":"PubMed","title":"High-clearance anti-amyloid immunotherapies in Alzheimer's disease. Part 1: Meta-analysis and review of efficacy and safety data, and medico-economical aspects","title-short":"High-clearance anti-amyloid immunotherapies in Alzheimer's disease. Part 1","volume":"178","author":[{"family":"Villain","given":"N."},{"family":"Planche","given":"V."},{"family":"Levy","given":"R."}],"issued":{"date-parts":[["2022",12]]}}},{"id":130,"uris":["http://zotero.org/users/15061285/items/CVZUEL3M"],"itemData":{"id":130,"type":"article-journal","abstract":"INTRODUCTION: Phase 3 trials using the anti-amyloid antibodies aducanumab, lecanemab, donanemab, and high-dose gantenerumab in prodromal and mild Alzheimer's disease dementia were heterogeneous in respect to statistical significance of effects. However, heterogeneity of results has not yet directly be quantified.\nMETHODS: We used Bayesian random effects meta-analysis to quantify evidence for or against a treatment effect, and assessed the size of the effect and its heterogeneity. Data were extracted from published studies where available and Web based data reports, assuming a Gaussian data generation process.\nRESULTS: We found moderate evidence in favor of a treatment effect (Bayes factor = 13.2). The effect was moderate to small with -0.33 (95% credible interval -0.54 to -0.10) points on the Clinical Dementia Rating - Sum of Boxes (CDR-SB) scale. The heterogeneity parameter was low to moderate with 0.21 (0.04 to 0.45) CDR-SB points.\nDISCUSSION: Heterogeneity across studies was moderate despite some trials reaching statistical significance, while others did not. This suggests that the negative aducanumab and gantenerumab trials are in full agreement with the expected effect sizes.","container-title":"Alzheimer's &amp; Dementia (New York, N. Y.)","DOI":"10.1002/trc2.12454","ISSN":"2352-8737","issue":"1","journalAbbreviation":"Alzheimers Dement (N Y)","language":"eng","note":"PMID: 38389855\nPMCID: PMC10883242","page":"e12454","source":"PubMed","title":"Bayesian meta-analysis of phase 3 results of aducanumab, lecanemab, donanemab, and high-dose gantenerumab in prodromal and mild Alzheimer's disease","volume":"10","author":[{"family":"Teipel","given":"Stefan J."},{"family":"Temp","given":"Anna G. M."},{"family":"Lutz","given":"Michael W."}],"issued":{"date-parts":[["2024"]]}}},{"id":127,"uris":["http://zotero.org/users/15061285/items/25V8I3CS"],"itemData":{"id":127,"type":"article-journal","abstract":"INTRODUCTION: Solanezumab is a monoclonal antibody that binds to the mid-domain of soluble amyloid β peptide. This meta-analysis evaluated the effect of low-dose solanezumab on clinical progression in three phase 3 studies.\nMETHODS: The population comprised patients aged ≥55 years with Alzheimer's disease (AD) with mild dementia, randomized to 400 mg solanezumab or placebo every 4 weeks for 80 weeks. Frequentist mixed-model repeated-measures (MMRM) and Bayesian disease progression model (DPM) longitudinal analyses were conducted.\nRESULTS: Pooled MMRM analyses showed a statistically significant effect of solanezumab across cognitive and functional outcome measures. DPM results were generally consistent with MMRM results, ranging from 15% to 30% slowing of clinical progression.\nDISCUSSION: These analyses suggest low-dose solanezumab slows clinical progression of AD with mild dementia. The ongoing A4 solanezumab study in participants with preclinical AD will ascertain the effect of a higher dose of solanezumab in an earlier disease stage.\nHIGHLIGHTS: Individual EXPEDITION studies were negative but suggest low-dose solanezumab had an effect in slowing the clinical progression of Alzheimer's disease (AD) with mild dementia. At 80 weeks, mixed-model repeated-measures analyses showed numeric reductions in measures of clinical decline in solanezumab-treated arms compared with placebo across almost every outcome measure, and statistical significance in multiple outcome measures in each study. Pooled analyses suggest a high probability that low-dose solanezumab has at least some effect on slowing the clinical progression of AD with mild dementia. Across cognitive and functional outcome measures, estimates from disease progression model analyses range from 15% to 30% slowing of decline with low-dose solanezumab in AD with mild dementia.","container-title":"Alzheimer's &amp; Dementia: The Journal of the Alzheimer's Association","DOI":"10.1002/alz.13031","ISSN":"1552-5279","issue":"10","journalAbbreviation":"Alzheimers Dement","language":"eng","note":"PMID: 36946603","page":"4619-4628","source":"PubMed","title":"Targeting amyloid β in Alzheimer's disease: Meta-analysis of low-dose solanezumab in Alzheimer's disease with mild dementia studies","title-short":"Targeting amyloid β in Alzheimer's disease","volume":"19","author":[{"family":"Holdridge","given":"Karen C."},{"family":"Yaari","given":"Roy"},{"family":"Hoban","given":"Deirdre B."},{"family":"Andersen","given":"Scott"},{"family":"Sims","given":"John R."}],"issued":{"date-parts":[["2023",10]]}}}],"schema":"https://github.com/citation-style-language/schema/raw/master/csl-citation.json"} </w:instrText>
      </w:r>
      <w:r w:rsidRPr="005C429C">
        <w:rPr>
          <w:rFonts w:ascii="Times New Roman" w:hAnsi="Times New Roman" w:cs="Times New Roman"/>
        </w:rPr>
        <w:fldChar w:fldCharType="separate"/>
      </w:r>
      <w:r w:rsidR="008A4505" w:rsidRPr="005C429C">
        <w:rPr>
          <w:rFonts w:ascii="Times New Roman" w:hAnsi="Times New Roman" w:cs="Times New Roman"/>
          <w:kern w:val="0"/>
          <w:szCs w:val="24"/>
          <w:vertAlign w:val="superscript"/>
        </w:rPr>
        <w:t>8–13</w:t>
      </w:r>
      <w:r w:rsidRPr="005C429C">
        <w:rPr>
          <w:rFonts w:ascii="Times New Roman" w:hAnsi="Times New Roman" w:cs="Times New Roman"/>
        </w:rPr>
        <w:fldChar w:fldCharType="end"/>
      </w:r>
      <w:r w:rsidR="009D6087" w:rsidRPr="005C429C">
        <w:rPr>
          <w:rFonts w:ascii="Times New Roman" w:hAnsi="Times New Roman" w:cs="Times New Roman"/>
        </w:rPr>
        <w:t xml:space="preserve"> </w:t>
      </w:r>
      <w:r w:rsidRPr="005C429C">
        <w:rPr>
          <w:rFonts w:ascii="Times New Roman" w:hAnsi="Times New Roman" w:cs="Times New Roman"/>
        </w:rPr>
        <w:t>focusing on different clinical outcomes.</w:t>
      </w:r>
      <w:r w:rsidR="009D6087" w:rsidRPr="005C429C">
        <w:rPr>
          <w:rFonts w:ascii="Times New Roman" w:hAnsi="Times New Roman" w:cs="Times New Roman"/>
        </w:rPr>
        <w:t xml:space="preserve"> Jeremic et al. </w:t>
      </w:r>
      <w:r w:rsidR="009D6087"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{"citationID":"ucpP8ufm","properties":{"formattedCitation":"\\super 8\\nosupersub{}","plainCitation":"8","noteIndex":0},"citationItems":[{"id":75,"uris":["http://zotero.org/users/15061285/items/7C96X8VN"],"itemData":{"id":75,"type":"article-journal","abstract":"The risk-benefit profile of anti-Aβ monoclonal antibodies (mAbs) in Alzheimer's disease (AD) remains unclear, especially concerning their safety and overall effects on AD progression and cognitive function. Here, we investigated cognitive, biomarker and side effects of anti-Aβ mAbs in large phase III randomized placebo-controlled clinical trials (RCTs) in sporadic AD. The search was performed on Google Scholar, PubMed and ClinicalTrials.gov by applying Jadad score to evaluate the methodological quality of the reports. Studies were excluded if they scored &lt; 3 on Jadad scale or if they analyzed less than 200 sporadic AD patients. We followed PRISMA guidelines and DerSimonian-Laird random-effects model in R. Primary outcomes were cognitive: AD Assessment Scale-Cognitive Subscale (ADAS-Cog), Mini Mental State Examination (MMSE) and Clinical Dementia Rating Scale-sum of Boxes (CDR-SB). Secondary and tertiary outcomes included biomarkers of Aβ and tau pathology, adverse events, and performance on Alzheimer's Disease Cooperative Study - Activities of Daily Living Scale. The meta-analysis included 14,980 patients in 14 studies and four mAbs: Bapineuzumab, Aducanumab, Solanezumab and Lecanemab. The results of this study suggest that anti-Aβ mAbs statistically improved cognitive and biomarker outcomes, particularly Aducanumab and Lecanemab. However, while cognitive effects were of small effect sizes, these drugs considerably increased risk of side effects such as Amyloid Related Imaging Abnormalities (ARIA), especially in APOE-ε4 carriers. Meta-regression revealed that higher (better) baseline MMSE score was associated with improved ADAS Cog and CDR-SB. In order to improve reproducibility and update the analysis in the future, we developed AlzMeta.app, web-based application freely available at https://alzmetaapp.shinyapps.io/alzmeta/.","container-title":"Ageing Research Reviews","DOI":"10.1016/j.arr.2023.102012","ISSN":"1872-9649","journalAbbreviation":"Ageing Res Rev","language":"eng","note":"PMID: 37423541","page":"102012","source":"PubMed","title":"Efficacy and safety of anti-amyloid-β monoclonal antibodies in current Alzheimer's disease phase III clinical trials: A systematic review and interactive web app-based meta-analysis","title-short":"Efficacy and safety of anti-amyloid-β monoclonal antibodies in current Alzheimer's disease phase III clinical trials","volume":"90","author":[{"family":"Jeremic","given":"Danko"},{"family":"Navarro-López","given":"Juan D."},{"family":"Jiménez-Díaz","given":"Lydia"}],"issued":{"date-parts":[["2023",9]]}}}],"schema":"https://github.com/citation-style-language/schema/raw/master/csl-citation.json"} </w:instrText>
      </w:r>
      <w:r w:rsidR="009D6087" w:rsidRPr="005C429C">
        <w:rPr>
          <w:rFonts w:ascii="Times New Roman" w:hAnsi="Times New Roman" w:cs="Times New Roman"/>
        </w:rPr>
        <w:fldChar w:fldCharType="separate"/>
      </w:r>
      <w:r w:rsidR="008A4505" w:rsidRPr="005C429C">
        <w:rPr>
          <w:rFonts w:ascii="Times New Roman" w:hAnsi="Times New Roman" w:cs="Times New Roman"/>
          <w:kern w:val="0"/>
          <w:szCs w:val="24"/>
          <w:vertAlign w:val="superscript"/>
        </w:rPr>
        <w:t>8</w:t>
      </w:r>
      <w:r w:rsidR="009D6087" w:rsidRPr="005C429C">
        <w:rPr>
          <w:rFonts w:ascii="Times New Roman" w:hAnsi="Times New Roman" w:cs="Times New Roman"/>
        </w:rPr>
        <w:fldChar w:fldCharType="end"/>
      </w:r>
      <w:r w:rsidR="009D6087" w:rsidRPr="005C429C">
        <w:rPr>
          <w:rFonts w:ascii="Times New Roman" w:hAnsi="Times New Roman" w:cs="Times New Roman"/>
        </w:rPr>
        <w:t xml:space="preserve"> found</w:t>
      </w:r>
      <w:r w:rsidRPr="005C429C">
        <w:rPr>
          <w:rFonts w:ascii="Times New Roman" w:hAnsi="Times New Roman" w:cs="Times New Roman"/>
        </w:rPr>
        <w:t xml:space="preserve"> </w:t>
      </w:r>
      <w:r w:rsidR="009D6087" w:rsidRPr="005C429C">
        <w:rPr>
          <w:rFonts w:ascii="Times New Roman" w:hAnsi="Times New Roman" w:cs="Times New Roman"/>
        </w:rPr>
        <w:t xml:space="preserve">a positive effect of anti-Aβ drugs on ADAS-Cog, MMSE, and CDR-SOB. </w:t>
      </w:r>
      <w:r w:rsidRPr="005C429C">
        <w:rPr>
          <w:rFonts w:ascii="Times New Roman" w:hAnsi="Times New Roman" w:cs="Times New Roman"/>
        </w:rPr>
        <w:t xml:space="preserve">Richard </w:t>
      </w:r>
      <w:r w:rsidRPr="005C429C">
        <w:rPr>
          <w:rFonts w:ascii="Times New Roman" w:hAnsi="Times New Roman" w:cs="Times New Roman"/>
          <w:i/>
          <w:iCs/>
        </w:rPr>
        <w:t>et al.</w:t>
      </w:r>
      <w:r w:rsidRPr="005C429C">
        <w:rPr>
          <w:rFonts w:ascii="Times New Roman" w:hAnsi="Times New Roman" w:cs="Times New Roman"/>
        </w:rPr>
        <w:t xml:space="preserve"> </w:t>
      </w:r>
      <w:r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{"citationID":"GJU5o66N","properties":{"formattedCitation":"\\super 9\\nosupersub{}","plainCitation":"9","noteIndex":0},"citationItems":[{"id":44,"uris":["http://zotero.org/users/15061285/items/8EPE5Z7J"],"itemData":{"id":44,"type":"article-journal","abstract":"Numerous clinical trials of anti-amyloid beta (Aβ) immunotherapy in Alzheimer's disease have been performed. None of these have provided convincing evidence for beneficial effects. Using traditional frequentist meta-analysis, the conclusion is that there is absence of evidence for a therapeutic effect, with a point estimate effect size of 0.05 (95% confidence interval -0.00 to 0.10, P = .055). In addition, this non-significant effect equates to 0.4 points per year on the cognitive subscale of the Alzheimer's Disease Assessment Scale. This is well below the minimally clinically important difference. Bayesian meta-analysis of these trial data provides strong evidence of absence of a therapeutic effect, with a Bayes factor of 11.27 in favor of the null hypothesis, opposed to a Bayes factor of 0.09 in favor of a treatment effect. Bayesian analysis is particularly valuable in this context of repeatedly reported small, non-significant effect sizes in individual trials. Mechanisms other than removal of Aβ from the brain may be probed to slow progression of Alzheimer's disease.","container-title":"Alzheimer's &amp; Dementia: The Journal of the Alzheimer's Association","DOI":"10.1002/alz.12379","ISSN":"1552-5279","issue":"6","journalAbbreviation":"Alzheimers Dement","language":"eng","note":"PMID: 34057297\nPMCID: PMC8251763","page":"1051-1055","source":"PubMed","title":"Bayes analysis supports null hypothesis of anti-amyloid beta therapy in Alzheimer's disease","volume":"17","author":[{"family":"Richard","given":"Edo"},{"family":"Brok","given":"Melina G. H. E.","non-dropping-particle":"den"},{"family":"Gool","given":"Willem A.","non-dropping-particle":"van"}],"issued":{"date-parts":[["2021",6]]}}}],"schema":"https://github.com/citation-style-language/schema/raw/master/csl-citation.json"} </w:instrText>
      </w:r>
      <w:r w:rsidRPr="005C429C">
        <w:rPr>
          <w:rFonts w:ascii="Times New Roman" w:hAnsi="Times New Roman" w:cs="Times New Roman"/>
        </w:rPr>
        <w:fldChar w:fldCharType="separate"/>
      </w:r>
      <w:r w:rsidR="008A4505" w:rsidRPr="005C429C">
        <w:rPr>
          <w:rFonts w:ascii="Times New Roman" w:hAnsi="Times New Roman" w:cs="Times New Roman"/>
          <w:kern w:val="0"/>
          <w:szCs w:val="24"/>
          <w:vertAlign w:val="superscript"/>
        </w:rPr>
        <w:t>9</w:t>
      </w:r>
      <w:r w:rsidRPr="005C429C">
        <w:rPr>
          <w:rFonts w:ascii="Times New Roman" w:hAnsi="Times New Roman" w:cs="Times New Roman"/>
        </w:rPr>
        <w:fldChar w:fldCharType="end"/>
      </w:r>
      <w:r w:rsidRPr="005C429C">
        <w:rPr>
          <w:rFonts w:ascii="Times New Roman" w:hAnsi="Times New Roman" w:cs="Times New Roman"/>
        </w:rPr>
        <w:t xml:space="preserve"> found a lack of evidence of an effect on ADAS-Cog based on six trials. Fernandez </w:t>
      </w:r>
      <w:r w:rsidRPr="005C429C">
        <w:rPr>
          <w:rFonts w:ascii="Times New Roman" w:hAnsi="Times New Roman" w:cs="Times New Roman"/>
          <w:i/>
          <w:iCs/>
        </w:rPr>
        <w:t xml:space="preserve">et al. </w:t>
      </w:r>
      <w:r w:rsidRPr="005C429C">
        <w:rPr>
          <w:rFonts w:ascii="Times New Roman" w:hAnsi="Times New Roman" w:cs="Times New Roman"/>
          <w:i/>
          <w:iCs/>
        </w:rPr>
        <w:fldChar w:fldCharType="begin"/>
      </w:r>
      <w:r w:rsidR="008A4505" w:rsidRPr="005C429C">
        <w:rPr>
          <w:rFonts w:ascii="Times New Roman" w:hAnsi="Times New Roman" w:cs="Times New Roman"/>
          <w:i/>
          <w:iCs/>
        </w:rPr>
        <w:instrText xml:space="preserve"> ADDIN ZOTERO_ITEM CSL_CITATION {"citationID":"LoXGAdIW","properties":{"formattedCitation":"\\super 10\\nosupersub{}","plainCitation":"10","noteIndex":0},"citationItems":[{"id":113,"uris":["http://zotero.org/users/15061285/items/XBZ6CBVU"],"itemData":{"id":113,"type":"article-journal","abstract":"Background For the last 20 years, the amyloid-beta (Aβ) cascade hypothesis has been dominant in the research of disease-modifying therapeutics, with spent of financial and clinical resources in potential drugs targeting Aβ peptide production or clearance. (1) In this context, monoclonal antibodies targeting beta-amyloid (Aβ-mAbs) are being tested to reduce the amyloid burden in patients with Alzheimer’s Disease (AD). (2) However, the cognitive impact of Aβ-mAbs remains controversial. (3) We aim to evaluate the conflicting results of previous studies using a meta-analysis. Method We searched PubMed, Embase, and Cochrane databases, following until April 2021, using the search terms: ”Alzheimer's disease” OR ”dementia” cross-referenced with ”monoclonal antibodies”, considering the synonyms. Eligible articles were randomized clinical trials with Aβ-mAbs that reported cognitive outcomes. The cognitive function was assessed by Alzheimer’s Disease Assessment Scale (ADAS-cog) and Mini-Mental State-Exam (MMSE). We performed a meta-analysis comparing mAbs and placebo, considering a minimal significant clinical change of 3 points in ADAS-Cog and 2 points in MMSE. Result We found 12 eligible studies in 443 identified records, involving 6736 patients, mean age 71.4 ± 2. We found a small benefit in cognitive outcomes in patients treated with Aβ-mAbs: ADAS-Cog: mean difference (MD) = - 0.65; 95% CI (-1.05 to - 0.26); I² = 12%; (p = 0.001) and MMSE: MD = 0.40; 95% CI (0.18 to 0.63); I² = 10%; (p = 0.0004). The Funnel plot and Egger’s test did not show publication bias. MD was below the minimal clinically relevant change in both scales. Conclusion Aβ-mAbs may have a positive cognitive benefit in AD patients. However, the impact magnitude is small, not reaching minimal clinically relevant change for these scales. References: (1) Panza F, Lozupone M, Seripa D, Imbimbo BP. Amyloid-β immunotherapy for alzheimer disease: Is it now a long shot? Ann Neurol. 2019 Mar;85(3):303–15. (2) Liu J, Yang B, Ke J, Li W, Suen W-C. Antibody-Based Drugs and Approaches Against Amyloid-β Species for Alzheimer’s Disease Immunotherapy. Drugs Aging. 2016 Oct;33(10):685–97. (3) Panza F, Lozupone M, Logroscino G, Imbimbo BP. A critical appraisal of amyloid-β-targeting therapies for Alzheimer disease. Nat Rev Neurol. 2019 Feb;15(2):73–88.","container-title":"Alzheimer's &amp; Dementia","DOI":"10.1002/alz.057778","ISSN":"1552-5279","issue":"S9","language":"en","license":"© 2021 the Alzheimer's Association","note":"_eprint: https://onlinelibrary.wiley.com/doi/pdf/10.1002/alz.057778","page":"e057778","source":"Wiley Online Library","title":"Cognitive outcomes of anti-amyloid-β monoclonal antibodies in patients with Alzheimer's disease: A systematic review and meta-analysis of randomized controlled trials","title-short":"Cognitive outcomes of anti-amyloid-β monoclonal antibodies in patients with Alzheimer's disease","volume":"17","author":[{"family":"Fernandez","given":"Paulo Eduardo Lahoz"},{"family":"Silva","given":"Guilherme Diogo"}],"issued":{"date-parts":[["2021"]]}}}],"schema":"https://github.com/citation-style-language/schema/raw/master/csl-citation.json"} </w:instrText>
      </w:r>
      <w:r w:rsidRPr="005C429C">
        <w:rPr>
          <w:rFonts w:ascii="Times New Roman" w:hAnsi="Times New Roman" w:cs="Times New Roman"/>
          <w:i/>
          <w:iCs/>
        </w:rPr>
        <w:fldChar w:fldCharType="separate"/>
      </w:r>
      <w:r w:rsidR="008A4505" w:rsidRPr="005C429C">
        <w:rPr>
          <w:rFonts w:ascii="Times New Roman" w:hAnsi="Times New Roman" w:cs="Times New Roman"/>
          <w:kern w:val="0"/>
          <w:szCs w:val="24"/>
          <w:vertAlign w:val="superscript"/>
        </w:rPr>
        <w:t>10</w:t>
      </w:r>
      <w:r w:rsidRPr="005C429C">
        <w:rPr>
          <w:rFonts w:ascii="Times New Roman" w:hAnsi="Times New Roman" w:cs="Times New Roman"/>
          <w:i/>
          <w:iCs/>
        </w:rPr>
        <w:fldChar w:fldCharType="end"/>
      </w:r>
      <w:r w:rsidRPr="005C429C">
        <w:rPr>
          <w:rFonts w:ascii="Times New Roman" w:hAnsi="Times New Roman" w:cs="Times New Roman"/>
        </w:rPr>
        <w:t xml:space="preserve"> found a small but statistically significant effect on ADAS-Cog and MMSE based on 12 RCTs. Villain </w:t>
      </w:r>
      <w:r w:rsidRPr="005C429C">
        <w:rPr>
          <w:rFonts w:ascii="Times New Roman" w:hAnsi="Times New Roman" w:cs="Times New Roman"/>
          <w:i/>
          <w:iCs/>
        </w:rPr>
        <w:t>et al.</w:t>
      </w:r>
      <w:r w:rsidRPr="005C429C">
        <w:rPr>
          <w:rFonts w:ascii="Times New Roman" w:hAnsi="Times New Roman" w:cs="Times New Roman"/>
        </w:rPr>
        <w:t xml:space="preserve"> </w:t>
      </w:r>
      <w:r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{"citationID":"05459utG","properties":{"formattedCitation":"\\super 11\\nosupersub{}","plainCitation":"11","noteIndex":0},"citationItems":[{"id":133,"uris":["http://zotero.org/users/15061285/items/6RRZYPDW"],"itemData":{"id":133,"type":"article-journal","abstract":"In 2021, aducanumab, an immunotherapy targeting amyloid-β, was approved for Alzheimer's disease (AD) by the US Food and Drug Administration thanks to positive results on a putative biological surrogate marker. This approval has raised an unprecedented controversy. It was followed by a refusal of the European Medicine Agency, which does not allow the marketing of drugs solely on biological arguments and raised safety issues, and important US coverage limitations by the Centers for Medicare &amp; Medicaid Services. Two other anti-amyloid immunotherapies showed significant results regarding a clinical outcome in phase 2 trials, and five drugs are being studied in phase 3 trials. Compared to those tested in previous trials of the 2010s, the common feature and novelty of these anti-amyloid immunotherapies is their ability to induce a high clearance of amyloid load, as measured with positron emission tomography, in the brain of early-stage biomarker-proven AD patients. Here, we review the available evidence regarding efficacy and safety data and medico-economical aspects for high-clearance anti-amyloid immunotherapies. We also perform frequentist and Bayesian meta-analyses of the clinical efficacy and safety of the highest dose groups from the two aducanumab phase 3 trials and the donanemab and lecanemab phase 2 trials. When pooled together, the data from high-clearance anti-amyloid immunotherapies trials confirm a statistically significant clinical effect of these drugs on cognitive decline after 18 months (difference in cognitive decline measured with CDR-SB after 18 months between the high dose immunotherapy groups vs. placebo = -0.24 points; P=0.04, frequentist random-effect model), with results on ADAS-Cog being the most statistically robust. However, this effect remains below the previously established minimal clinically relevant values. In parallel, the drugs significantly increased the occurrence of amyloid-related imaging abnormalities-edema (ARIA-E: risk ratio=13.39; P&lt;0.0001), ARIA-hemorrhage (risk ratio=2.78; P=0.0002), and symptomatic and serious ARIA (7/1321=0.53% in the high dose groups versus 0/1446 in the placebo groups; risk ratio=6.44; P=0.04). The risk/benefit ratio of high-clearance immunotherapies in early AD is so far questionable after 18 months. Identifying subgroups of better responders, the perspective of combination therapies, and a longer follow-up may help improve their clinical relevance. Finally, the preliminary evidence from medico-economical analyses seems to indicate that the current cost of aducanumab in the US is not in reasonable alignment with its clinical benefits.","container-title":"Revue Neurologique","DOI":"10.1016/j.neurol.2022.06.012","ISSN":"0035-3787","issue":"10","journalAbbreviation":"Rev Neurol (Paris)","language":"eng","note":"PMID: 36184326","page":"1011-1030","source":"PubMed","title":"High-clearance anti-amyloid immunotherapies in Alzheimer's disease. Part 1: Meta-analysis and review of efficacy and safety data, and medico-economical aspects","title-short":"High-clearance anti-amyloid immunotherapies in Alzheimer's disease. Part 1","volume":"178","author":[{"family":"Villain","given":"N."},{"family":"Planche","given":"V."},{"family":"Levy","given":"R."}],"issued":{"date-parts":[["2022",12]]}}}],"schema":"https://github.com/citation-style-language/schema/raw/master/csl-citation.json"} </w:instrText>
      </w:r>
      <w:r w:rsidRPr="005C429C">
        <w:rPr>
          <w:rFonts w:ascii="Times New Roman" w:hAnsi="Times New Roman" w:cs="Times New Roman"/>
        </w:rPr>
        <w:fldChar w:fldCharType="separate"/>
      </w:r>
      <w:r w:rsidR="008A4505" w:rsidRPr="005C429C">
        <w:rPr>
          <w:rFonts w:ascii="Times New Roman" w:hAnsi="Times New Roman" w:cs="Times New Roman"/>
          <w:kern w:val="0"/>
          <w:szCs w:val="24"/>
          <w:vertAlign w:val="superscript"/>
        </w:rPr>
        <w:t>11</w:t>
      </w:r>
      <w:r w:rsidRPr="005C429C">
        <w:rPr>
          <w:rFonts w:ascii="Times New Roman" w:hAnsi="Times New Roman" w:cs="Times New Roman"/>
        </w:rPr>
        <w:fldChar w:fldCharType="end"/>
      </w:r>
      <w:r w:rsidRPr="005C429C">
        <w:rPr>
          <w:rFonts w:ascii="Times New Roman" w:hAnsi="Times New Roman" w:cs="Times New Roman"/>
        </w:rPr>
        <w:t xml:space="preserve"> found a statistically significant effect on ADAS-Cog and CDR-SOB based on evidence from 4 RCTs demonstrating high level of amyloid clearance, but no effect was found on MMSE. After conducting a Bayesian random effects meta-analysis, T</w:t>
      </w:r>
      <w:r w:rsidR="009D6087" w:rsidRPr="005C429C">
        <w:rPr>
          <w:rFonts w:ascii="Times New Roman" w:hAnsi="Times New Roman" w:cs="Times New Roman"/>
        </w:rPr>
        <w:t>e</w:t>
      </w:r>
      <w:r w:rsidRPr="005C429C">
        <w:rPr>
          <w:rFonts w:ascii="Times New Roman" w:hAnsi="Times New Roman" w:cs="Times New Roman"/>
        </w:rPr>
        <w:t xml:space="preserve">ipel </w:t>
      </w:r>
      <w:r w:rsidRPr="005C429C">
        <w:rPr>
          <w:rFonts w:ascii="Times New Roman" w:hAnsi="Times New Roman" w:cs="Times New Roman"/>
          <w:i/>
          <w:iCs/>
        </w:rPr>
        <w:t>et al.</w:t>
      </w:r>
      <w:r w:rsidRPr="005C429C">
        <w:rPr>
          <w:rFonts w:ascii="Times New Roman" w:hAnsi="Times New Roman" w:cs="Times New Roman"/>
        </w:rPr>
        <w:t xml:space="preserve"> </w:t>
      </w:r>
      <w:r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{"citationID":"PZoIIYpW","properties":{"formattedCitation":"\\super 12\\nosupersub{}","plainCitation":"12","noteIndex":0},"citationItems":[{"id":130,"uris":["http://zotero.org/users/15061285/items/CVZUEL3M"],"itemData":{"id":130,"type":"article-journal","abstract":"INTRODUCTION: Phase 3 trials using the anti-amyloid antibodies aducanumab, lecanemab, donanemab, and high-dose gantenerumab in prodromal and mild Alzheimer's disease dementia were heterogeneous in respect to statistical significance of effects. However, heterogeneity of results has not yet directly be quantified.\nMETHODS: We used Bayesian random effects meta-analysis to quantify evidence for or against a treatment effect, and assessed the size of the effect and its heterogeneity. Data were extracted from published studies where available and Web based data reports, assuming a Gaussian data generation process.\nRESULTS: We found moderate evidence in favor of a treatment effect (Bayes factor = 13.2). The effect was moderate to small with -0.33 (95% credible interval -0.54 to -0.10) points on the Clinical Dementia Rating - Sum of Boxes (CDR-SB) scale. The heterogeneity parameter was low to moderate with 0.21 (0.04 to 0.45) CDR-SB points.\nDISCUSSION: Heterogeneity across studies was moderate despite some trials reaching statistical significance, while others did not. This suggests that the negative aducanumab and gantenerumab trials are in full agreement with the expected effect sizes.","container-title":"Alzheimer's &amp; Dementia (New York, N. Y.)","DOI":"10.1002/trc2.12454","ISSN":"2352-8737","issue":"1","journalAbbreviation":"Alzheimers Dement (N Y)","language":"eng","note":"PMID: 38389855\nPMCID: PMC10883242","page":"e12454","source":"PubMed","title":"Bayesian meta-analysis of phase 3 results of aducanumab, lecanemab, donanemab, and high-dose gantenerumab in prodromal and mild Alzheimer's disease","volume":"10","author":[{"family":"Teipel","given":"Stefan J."},{"family":"Temp","given":"Anna G. M."},{"family":"Lutz","given":"Michael W."}],"issued":{"date-parts":[["2024"]]}}}],"schema":"https://github.com/citation-style-language/schema/raw/master/csl-citation.json"} </w:instrText>
      </w:r>
      <w:r w:rsidRPr="005C429C">
        <w:rPr>
          <w:rFonts w:ascii="Times New Roman" w:hAnsi="Times New Roman" w:cs="Times New Roman"/>
        </w:rPr>
        <w:fldChar w:fldCharType="separate"/>
      </w:r>
      <w:r w:rsidR="008A4505" w:rsidRPr="005C429C">
        <w:rPr>
          <w:rFonts w:ascii="Times New Roman" w:hAnsi="Times New Roman" w:cs="Times New Roman"/>
          <w:kern w:val="0"/>
          <w:szCs w:val="24"/>
          <w:vertAlign w:val="superscript"/>
        </w:rPr>
        <w:t>12</w:t>
      </w:r>
      <w:r w:rsidRPr="005C429C">
        <w:rPr>
          <w:rFonts w:ascii="Times New Roman" w:hAnsi="Times New Roman" w:cs="Times New Roman"/>
        </w:rPr>
        <w:fldChar w:fldCharType="end"/>
      </w:r>
      <w:r w:rsidRPr="005C429C">
        <w:rPr>
          <w:rFonts w:ascii="Times New Roman" w:hAnsi="Times New Roman" w:cs="Times New Roman"/>
        </w:rPr>
        <w:t xml:space="preserve"> found a moderate to small but statistically meaningful effect (with 95% credible intervals excluding zero) on CDR-SOB based on eight studies. </w:t>
      </w:r>
      <w:r w:rsidRPr="005C429C">
        <w:rPr>
          <w:rFonts w:ascii="Times New Roman" w:hAnsi="Times New Roman" w:cs="Times New Roman"/>
        </w:rPr>
        <w:lastRenderedPageBreak/>
        <w:t xml:space="preserve">Holdridge </w:t>
      </w:r>
      <w:r w:rsidRPr="005C429C">
        <w:rPr>
          <w:rFonts w:ascii="Times New Roman" w:hAnsi="Times New Roman" w:cs="Times New Roman"/>
          <w:i/>
          <w:iCs/>
        </w:rPr>
        <w:t>et al.</w:t>
      </w:r>
      <w:r w:rsidRPr="005C429C">
        <w:rPr>
          <w:rFonts w:ascii="Times New Roman" w:hAnsi="Times New Roman" w:cs="Times New Roman"/>
        </w:rPr>
        <w:t xml:space="preserve"> </w:t>
      </w:r>
      <w:r w:rsidRPr="005C429C">
        <w:rPr>
          <w:rFonts w:ascii="Times New Roman" w:hAnsi="Times New Roman" w:cs="Times New Roman"/>
        </w:rPr>
        <w:fldChar w:fldCharType="begin"/>
      </w:r>
      <w:r w:rsidR="008A4505" w:rsidRPr="005C429C">
        <w:rPr>
          <w:rFonts w:ascii="Times New Roman" w:hAnsi="Times New Roman" w:cs="Times New Roman"/>
        </w:rPr>
        <w:instrText xml:space="preserve"> ADDIN ZOTERO_ITEM CSL_CITATION {"citationID":"9q4ka94C","properties":{"formattedCitation":"\\super 13\\nosupersub{}","plainCitation":"13","noteIndex":0},"citationItems":[{"id":127,"uris":["http://zotero.org/users/15061285/items/25V8I3CS"],"itemData":{"id":127,"type":"article-journal","abstract":"INTRODUCTION: Solanezumab is a monoclonal antibody that binds to the mid-domain of soluble amyloid β peptide. This meta-analysis evaluated the effect of low-dose solanezumab on clinical progression in three phase 3 studies.\nMETHODS: The population comprised patients aged ≥55 years with Alzheimer's disease (AD) with mild dementia, randomized to 400 mg solanezumab or placebo every 4 weeks for 80 weeks. Frequentist mixed-model repeated-measures (MMRM) and Bayesian disease progression model (DPM) longitudinal analyses were conducted.\nRESULTS: Pooled MMRM analyses showed a statistically significant effect of solanezumab across cognitive and functional outcome measures. DPM results were generally consistent with MMRM results, ranging from 15% to 30% slowing of clinical progression.\nDISCUSSION: These analyses suggest low-dose solanezumab slows clinical progression of AD with mild dementia. The ongoing A4 solanezumab study in participants with preclinical AD will ascertain the effect of a higher dose of solanezumab in an earlier disease stage.\nHIGHLIGHTS: Individual EXPEDITION studies were negative but suggest low-dose solanezumab had an effect in slowing the clinical progression of Alzheimer's disease (AD) with mild dementia. At 80 weeks, mixed-model repeated-measures analyses showed numeric reductions in measures of clinical decline in solanezumab-treated arms compared with placebo across almost every outcome measure, and statistical significance in multiple outcome measures in each study. Pooled analyses suggest a high probability that low-dose solanezumab has at least some effect on slowing the clinical progression of AD with mild dementia. Across cognitive and functional outcome measures, estimates from disease progression model analyses range from 15% to 30% slowing of decline with low-dose solanezumab in AD with mild dementia.","container-title":"Alzheimer's &amp; Dementia: The Journal of the Alzheimer's Association","DOI":"10.1002/alz.13031","ISSN":"1552-5279","issue":"10","journalAbbreviation":"Alzheimers Dement","language":"eng","note":"PMID: 36946603","page":"4619-4628","source":"PubMed","title":"Targeting amyloid β in Alzheimer's disease: Meta-analysis of low-dose solanezumab in Alzheimer's disease with mild dementia studies","title-short":"Targeting amyloid β in Alzheimer's disease","volume":"19","author":[{"family":"Holdridge","given":"Karen C."},{"family":"Yaari","given":"Roy"},{"family":"Hoban","given":"Deirdre B."},{"family":"Andersen","given":"Scott"},{"family":"Sims","given":"John R."}],"issued":{"date-parts":[["2023",10]]}}}],"schema":"https://github.com/citation-style-language/schema/raw/master/csl-citation.json"} </w:instrText>
      </w:r>
      <w:r w:rsidRPr="005C429C">
        <w:rPr>
          <w:rFonts w:ascii="Times New Roman" w:hAnsi="Times New Roman" w:cs="Times New Roman"/>
        </w:rPr>
        <w:fldChar w:fldCharType="separate"/>
      </w:r>
      <w:r w:rsidR="008A4505" w:rsidRPr="005C429C">
        <w:rPr>
          <w:rFonts w:ascii="Times New Roman" w:hAnsi="Times New Roman" w:cs="Times New Roman"/>
          <w:kern w:val="0"/>
          <w:vertAlign w:val="superscript"/>
        </w:rPr>
        <w:t>13</w:t>
      </w:r>
      <w:r w:rsidRPr="005C429C">
        <w:rPr>
          <w:rFonts w:ascii="Times New Roman" w:hAnsi="Times New Roman" w:cs="Times New Roman"/>
        </w:rPr>
        <w:fldChar w:fldCharType="end"/>
      </w:r>
      <w:r w:rsidRPr="005C429C">
        <w:rPr>
          <w:rFonts w:ascii="Times New Roman" w:hAnsi="Times New Roman" w:cs="Times New Roman"/>
        </w:rPr>
        <w:t xml:space="preserve"> found a statistically significant effect across various functional outcome measures based solely on three phase III studies of solanezumab. </w:t>
      </w:r>
    </w:p>
    <w:p w14:paraId="4E197AAF" w14:textId="77777777" w:rsidR="00241C9A" w:rsidRPr="005C429C" w:rsidRDefault="00241C9A" w:rsidP="00DB55E9">
      <w:pPr>
        <w:jc w:val="both"/>
        <w:rPr>
          <w:rFonts w:ascii="Times New Roman" w:hAnsi="Times New Roman" w:cs="Times New Roman"/>
        </w:rPr>
      </w:pPr>
    </w:p>
    <w:p w14:paraId="039CAF6A" w14:textId="7E12D9A8" w:rsidR="00AF598C" w:rsidRPr="005C429C" w:rsidRDefault="00B63A86" w:rsidP="00B63A86">
      <w:pPr>
        <w:jc w:val="both"/>
        <w:rPr>
          <w:rFonts w:ascii="Times New Roman" w:hAnsi="Times New Roman" w:cs="Times New Roman"/>
        </w:rPr>
      </w:pPr>
      <w:r w:rsidRPr="005C429C">
        <w:rPr>
          <w:rFonts w:ascii="Times New Roman" w:hAnsi="Times New Roman" w:cs="Times New Roman"/>
        </w:rPr>
        <w:t>Table S1: Characteristics of included clinical trials</w:t>
      </w:r>
    </w:p>
    <w:tbl>
      <w:tblPr>
        <w:tblStyle w:val="TableGrid"/>
        <w:tblW w:w="8505" w:type="dxa"/>
        <w:tblLook w:val="04A0" w:firstRow="1" w:lastRow="0" w:firstColumn="1" w:lastColumn="0" w:noHBand="0" w:noVBand="1"/>
      </w:tblPr>
      <w:tblGrid>
        <w:gridCol w:w="987"/>
        <w:gridCol w:w="1001"/>
        <w:gridCol w:w="766"/>
        <w:gridCol w:w="786"/>
        <w:gridCol w:w="2158"/>
        <w:gridCol w:w="944"/>
        <w:gridCol w:w="1664"/>
        <w:gridCol w:w="710"/>
      </w:tblGrid>
      <w:tr w:rsidR="00241C9A" w:rsidRPr="005C429C" w14:paraId="5CB28CFD" w14:textId="77777777" w:rsidTr="008B293B">
        <w:trPr>
          <w:trHeight w:val="284"/>
        </w:trPr>
        <w:tc>
          <w:tcPr>
            <w:tcW w:w="542" w:type="pct"/>
            <w:noWrap/>
            <w:hideMark/>
          </w:tcPr>
          <w:p w14:paraId="7BAB0735" w14:textId="77777777" w:rsidR="00B63A86" w:rsidRPr="005C429C" w:rsidRDefault="00B63A86" w:rsidP="00B63A86">
            <w:pPr>
              <w:jc w:val="both"/>
              <w:rPr>
                <w:rFonts w:ascii="Times New Roman" w:hAnsi="Times New Roman" w:cs="Times New Roman"/>
                <w:b/>
                <w:bCs/>
              </w:rPr>
            </w:pPr>
            <w:r w:rsidRPr="005C429C">
              <w:rPr>
                <w:rFonts w:ascii="Times New Roman" w:hAnsi="Times New Roman" w:cs="Times New Roman"/>
                <w:b/>
                <w:bCs/>
              </w:rPr>
              <w:t>Study</w:t>
            </w:r>
          </w:p>
        </w:tc>
        <w:tc>
          <w:tcPr>
            <w:tcW w:w="551" w:type="pct"/>
            <w:noWrap/>
            <w:hideMark/>
          </w:tcPr>
          <w:p w14:paraId="6B408778" w14:textId="77777777" w:rsidR="00B63A86" w:rsidRPr="005C429C" w:rsidRDefault="00B63A86" w:rsidP="00B63A86">
            <w:pPr>
              <w:jc w:val="both"/>
              <w:rPr>
                <w:rFonts w:ascii="Times New Roman" w:hAnsi="Times New Roman" w:cs="Times New Roman"/>
                <w:b/>
                <w:bCs/>
              </w:rPr>
            </w:pPr>
            <w:r w:rsidRPr="005C429C">
              <w:rPr>
                <w:rFonts w:ascii="Times New Roman" w:hAnsi="Times New Roman" w:cs="Times New Roman"/>
                <w:b/>
                <w:bCs/>
              </w:rPr>
              <w:t>Registration number</w:t>
            </w:r>
          </w:p>
        </w:tc>
        <w:tc>
          <w:tcPr>
            <w:tcW w:w="396" w:type="pct"/>
            <w:noWrap/>
            <w:hideMark/>
          </w:tcPr>
          <w:p w14:paraId="2599F351" w14:textId="77777777" w:rsidR="00B63A86" w:rsidRPr="005C429C" w:rsidRDefault="00B63A86" w:rsidP="00B63A86">
            <w:pPr>
              <w:jc w:val="both"/>
              <w:rPr>
                <w:rFonts w:ascii="Times New Roman" w:hAnsi="Times New Roman" w:cs="Times New Roman"/>
                <w:b/>
                <w:bCs/>
              </w:rPr>
            </w:pPr>
            <w:r w:rsidRPr="005C429C">
              <w:rPr>
                <w:rFonts w:ascii="Times New Roman" w:hAnsi="Times New Roman" w:cs="Times New Roman"/>
                <w:b/>
                <w:bCs/>
              </w:rPr>
              <w:t>Drugs</w:t>
            </w:r>
          </w:p>
        </w:tc>
        <w:tc>
          <w:tcPr>
            <w:tcW w:w="421" w:type="pct"/>
            <w:noWrap/>
            <w:hideMark/>
          </w:tcPr>
          <w:p w14:paraId="1E18337C" w14:textId="77777777" w:rsidR="00B63A86" w:rsidRPr="005C429C" w:rsidRDefault="00B63A86" w:rsidP="00B63A86">
            <w:pPr>
              <w:jc w:val="both"/>
              <w:rPr>
                <w:rFonts w:ascii="Times New Roman" w:hAnsi="Times New Roman" w:cs="Times New Roman"/>
                <w:b/>
                <w:bCs/>
              </w:rPr>
            </w:pPr>
            <w:r w:rsidRPr="005C429C">
              <w:rPr>
                <w:rFonts w:ascii="Times New Roman" w:hAnsi="Times New Roman" w:cs="Times New Roman"/>
                <w:b/>
                <w:bCs/>
              </w:rPr>
              <w:t>Study duration</w:t>
            </w:r>
          </w:p>
        </w:tc>
        <w:tc>
          <w:tcPr>
            <w:tcW w:w="1248" w:type="pct"/>
            <w:noWrap/>
            <w:hideMark/>
          </w:tcPr>
          <w:p w14:paraId="217BD359" w14:textId="77777777" w:rsidR="00B63A86" w:rsidRPr="005C429C" w:rsidRDefault="00B63A86" w:rsidP="00B63A86">
            <w:pPr>
              <w:jc w:val="both"/>
              <w:rPr>
                <w:rFonts w:ascii="Times New Roman" w:hAnsi="Times New Roman" w:cs="Times New Roman"/>
                <w:b/>
                <w:bCs/>
              </w:rPr>
            </w:pPr>
            <w:r w:rsidRPr="005C429C">
              <w:rPr>
                <w:rFonts w:ascii="Times New Roman" w:hAnsi="Times New Roman" w:cs="Times New Roman"/>
                <w:b/>
                <w:bCs/>
              </w:rPr>
              <w:t>Dose</w:t>
            </w:r>
          </w:p>
        </w:tc>
        <w:tc>
          <w:tcPr>
            <w:tcW w:w="516" w:type="pct"/>
            <w:noWrap/>
            <w:hideMark/>
          </w:tcPr>
          <w:p w14:paraId="2667B2C2" w14:textId="77777777" w:rsidR="00B63A86" w:rsidRPr="005C429C" w:rsidRDefault="00B63A86" w:rsidP="00B63A86">
            <w:pPr>
              <w:jc w:val="both"/>
              <w:rPr>
                <w:rFonts w:ascii="Times New Roman" w:hAnsi="Times New Roman" w:cs="Times New Roman"/>
                <w:b/>
                <w:bCs/>
              </w:rPr>
            </w:pPr>
            <w:r w:rsidRPr="005C429C">
              <w:rPr>
                <w:rFonts w:ascii="Times New Roman" w:hAnsi="Times New Roman" w:cs="Times New Roman"/>
                <w:b/>
                <w:bCs/>
              </w:rPr>
              <w:t>Number of patients</w:t>
            </w:r>
          </w:p>
        </w:tc>
        <w:tc>
          <w:tcPr>
            <w:tcW w:w="950" w:type="pct"/>
            <w:noWrap/>
            <w:hideMark/>
          </w:tcPr>
          <w:p w14:paraId="73418381" w14:textId="77777777" w:rsidR="00B63A86" w:rsidRPr="005C429C" w:rsidRDefault="00B63A86" w:rsidP="00B63A86">
            <w:pPr>
              <w:jc w:val="both"/>
              <w:rPr>
                <w:rFonts w:ascii="Times New Roman" w:hAnsi="Times New Roman" w:cs="Times New Roman"/>
                <w:b/>
                <w:bCs/>
              </w:rPr>
            </w:pPr>
            <w:r w:rsidRPr="005C429C">
              <w:rPr>
                <w:rFonts w:ascii="Times New Roman" w:hAnsi="Times New Roman" w:cs="Times New Roman"/>
                <w:b/>
                <w:bCs/>
              </w:rPr>
              <w:t xml:space="preserve"> MCI due to AD or Prodromal AD (%)</w:t>
            </w:r>
          </w:p>
        </w:tc>
        <w:tc>
          <w:tcPr>
            <w:tcW w:w="375" w:type="pct"/>
            <w:noWrap/>
            <w:hideMark/>
          </w:tcPr>
          <w:p w14:paraId="335EF38F" w14:textId="77777777" w:rsidR="00B63A86" w:rsidRPr="005C429C" w:rsidRDefault="00B63A86" w:rsidP="00B63A86">
            <w:pPr>
              <w:jc w:val="both"/>
              <w:rPr>
                <w:rFonts w:ascii="Times New Roman" w:hAnsi="Times New Roman" w:cs="Times New Roman"/>
                <w:b/>
                <w:bCs/>
              </w:rPr>
            </w:pPr>
            <w:r w:rsidRPr="005C429C">
              <w:rPr>
                <w:rFonts w:ascii="Times New Roman" w:hAnsi="Times New Roman" w:cs="Times New Roman"/>
                <w:b/>
                <w:bCs/>
              </w:rPr>
              <w:t>Mild AD (%)</w:t>
            </w:r>
          </w:p>
        </w:tc>
      </w:tr>
      <w:tr w:rsidR="00241C9A" w:rsidRPr="005C429C" w14:paraId="5449A944" w14:textId="77777777" w:rsidTr="008B293B">
        <w:trPr>
          <w:trHeight w:val="284"/>
        </w:trPr>
        <w:tc>
          <w:tcPr>
            <w:tcW w:w="542" w:type="pct"/>
            <w:vMerge w:val="restart"/>
            <w:noWrap/>
            <w:hideMark/>
          </w:tcPr>
          <w:p w14:paraId="48D7B029" w14:textId="046E0D6F" w:rsidR="00FD60FD" w:rsidRPr="005C429C" w:rsidRDefault="00FD60FD" w:rsidP="00241C9A">
            <w:pPr>
              <w:jc w:val="both"/>
              <w:rPr>
                <w:rFonts w:ascii="Times New Roman" w:hAnsi="Times New Roman" w:cs="Times New Roman"/>
              </w:rPr>
            </w:pPr>
            <w:r w:rsidRPr="005C429C">
              <w:rPr>
                <w:rFonts w:ascii="Times New Roman" w:hAnsi="Times New Roman" w:cs="Times New Roman"/>
              </w:rPr>
              <w:t>EMERGE</w:t>
            </w:r>
          </w:p>
        </w:tc>
        <w:tc>
          <w:tcPr>
            <w:tcW w:w="551" w:type="pct"/>
            <w:vMerge w:val="restart"/>
            <w:noWrap/>
            <w:hideMark/>
          </w:tcPr>
          <w:p w14:paraId="15C6A6E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NCT02484547</w:t>
            </w:r>
          </w:p>
          <w:p w14:paraId="00FC96E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158DDE1A" w14:textId="7535BFE1"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5A220AFB" w14:textId="02CDF4BF" w:rsidR="00FD60FD" w:rsidRPr="005C429C" w:rsidRDefault="00FD60FD" w:rsidP="00B63A86">
            <w:pPr>
              <w:jc w:val="both"/>
              <w:rPr>
                <w:rFonts w:ascii="Times New Roman" w:hAnsi="Times New Roman" w:cs="Times New Roman"/>
              </w:rPr>
            </w:pPr>
            <w:r w:rsidRPr="005C429C">
              <w:rPr>
                <w:rFonts w:ascii="Times New Roman" w:hAnsi="Times New Roman" w:cs="Times New Roman"/>
              </w:rPr>
              <w:t>Aducanumab</w:t>
            </w:r>
          </w:p>
          <w:p w14:paraId="7E8E50AD" w14:textId="670C2EAD"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421" w:type="pct"/>
            <w:vMerge w:val="restart"/>
            <w:noWrap/>
            <w:hideMark/>
          </w:tcPr>
          <w:p w14:paraId="5133513F"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76 weeks</w:t>
            </w:r>
          </w:p>
          <w:p w14:paraId="38C0D08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34B9F6C2" w14:textId="580CA16F"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5D3C385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6A49F62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548</w:t>
            </w:r>
          </w:p>
        </w:tc>
        <w:tc>
          <w:tcPr>
            <w:tcW w:w="950" w:type="pct"/>
            <w:noWrap/>
            <w:hideMark/>
          </w:tcPr>
          <w:p w14:paraId="32746DB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81</w:t>
            </w:r>
          </w:p>
        </w:tc>
        <w:tc>
          <w:tcPr>
            <w:tcW w:w="375" w:type="pct"/>
            <w:noWrap/>
            <w:hideMark/>
          </w:tcPr>
          <w:p w14:paraId="37A1C68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19</w:t>
            </w:r>
          </w:p>
        </w:tc>
      </w:tr>
      <w:tr w:rsidR="00241C9A" w:rsidRPr="005C429C" w14:paraId="5C4EA46F" w14:textId="77777777" w:rsidTr="008B293B">
        <w:trPr>
          <w:trHeight w:val="284"/>
        </w:trPr>
        <w:tc>
          <w:tcPr>
            <w:tcW w:w="542" w:type="pct"/>
            <w:vMerge/>
            <w:noWrap/>
            <w:hideMark/>
          </w:tcPr>
          <w:p w14:paraId="28EF8473" w14:textId="5F5CFAEE" w:rsidR="00FD60FD" w:rsidRPr="005C429C" w:rsidRDefault="00FD60FD" w:rsidP="00B63A86">
            <w:pPr>
              <w:jc w:val="both"/>
              <w:rPr>
                <w:rFonts w:ascii="Times New Roman" w:hAnsi="Times New Roman" w:cs="Times New Roman"/>
              </w:rPr>
            </w:pPr>
          </w:p>
        </w:tc>
        <w:tc>
          <w:tcPr>
            <w:tcW w:w="551" w:type="pct"/>
            <w:vMerge/>
            <w:noWrap/>
            <w:hideMark/>
          </w:tcPr>
          <w:p w14:paraId="07B8F517" w14:textId="098D88D2" w:rsidR="00FD60FD" w:rsidRPr="005C429C" w:rsidRDefault="00FD60FD" w:rsidP="00B63A86">
            <w:pPr>
              <w:jc w:val="both"/>
              <w:rPr>
                <w:rFonts w:ascii="Times New Roman" w:hAnsi="Times New Roman" w:cs="Times New Roman"/>
              </w:rPr>
            </w:pPr>
          </w:p>
        </w:tc>
        <w:tc>
          <w:tcPr>
            <w:tcW w:w="396" w:type="pct"/>
            <w:vMerge/>
            <w:noWrap/>
            <w:hideMark/>
          </w:tcPr>
          <w:p w14:paraId="5D9F2781" w14:textId="6E1EE6E4" w:rsidR="00FD60FD" w:rsidRPr="005C429C" w:rsidRDefault="00FD60FD" w:rsidP="00B63A86">
            <w:pPr>
              <w:jc w:val="both"/>
              <w:rPr>
                <w:rFonts w:ascii="Times New Roman" w:hAnsi="Times New Roman" w:cs="Times New Roman"/>
              </w:rPr>
            </w:pPr>
          </w:p>
        </w:tc>
        <w:tc>
          <w:tcPr>
            <w:tcW w:w="421" w:type="pct"/>
            <w:vMerge/>
            <w:noWrap/>
            <w:hideMark/>
          </w:tcPr>
          <w:p w14:paraId="3DBB69E3" w14:textId="22632947" w:rsidR="00FD60FD" w:rsidRPr="005C429C" w:rsidRDefault="00FD60FD" w:rsidP="00B63A86">
            <w:pPr>
              <w:jc w:val="both"/>
              <w:rPr>
                <w:rFonts w:ascii="Times New Roman" w:hAnsi="Times New Roman" w:cs="Times New Roman"/>
              </w:rPr>
            </w:pPr>
          </w:p>
        </w:tc>
        <w:tc>
          <w:tcPr>
            <w:tcW w:w="1248" w:type="pct"/>
            <w:noWrap/>
            <w:hideMark/>
          </w:tcPr>
          <w:p w14:paraId="59DA042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3mg/kg or 6mg/kg</w:t>
            </w:r>
          </w:p>
        </w:tc>
        <w:tc>
          <w:tcPr>
            <w:tcW w:w="516" w:type="pct"/>
            <w:noWrap/>
            <w:hideMark/>
          </w:tcPr>
          <w:p w14:paraId="1BDD379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543</w:t>
            </w:r>
          </w:p>
        </w:tc>
        <w:tc>
          <w:tcPr>
            <w:tcW w:w="950" w:type="pct"/>
            <w:noWrap/>
            <w:hideMark/>
          </w:tcPr>
          <w:p w14:paraId="10AA47EB"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83</w:t>
            </w:r>
          </w:p>
        </w:tc>
        <w:tc>
          <w:tcPr>
            <w:tcW w:w="375" w:type="pct"/>
            <w:noWrap/>
            <w:hideMark/>
          </w:tcPr>
          <w:p w14:paraId="6F95AE5A"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17</w:t>
            </w:r>
          </w:p>
        </w:tc>
      </w:tr>
      <w:tr w:rsidR="00241C9A" w:rsidRPr="005C429C" w14:paraId="352AE2D3" w14:textId="77777777" w:rsidTr="00241C9A">
        <w:trPr>
          <w:trHeight w:val="359"/>
        </w:trPr>
        <w:tc>
          <w:tcPr>
            <w:tcW w:w="542" w:type="pct"/>
            <w:vMerge/>
            <w:noWrap/>
            <w:hideMark/>
          </w:tcPr>
          <w:p w14:paraId="50072C56" w14:textId="05FFD973" w:rsidR="00FD60FD" w:rsidRPr="005C429C" w:rsidRDefault="00FD60FD" w:rsidP="00B63A86">
            <w:pPr>
              <w:jc w:val="both"/>
              <w:rPr>
                <w:rFonts w:ascii="Times New Roman" w:hAnsi="Times New Roman" w:cs="Times New Roman"/>
              </w:rPr>
            </w:pPr>
          </w:p>
        </w:tc>
        <w:tc>
          <w:tcPr>
            <w:tcW w:w="551" w:type="pct"/>
            <w:vMerge/>
            <w:noWrap/>
            <w:hideMark/>
          </w:tcPr>
          <w:p w14:paraId="3E3CBC4E" w14:textId="791F92C1" w:rsidR="00FD60FD" w:rsidRPr="005C429C" w:rsidRDefault="00FD60FD" w:rsidP="00B63A86">
            <w:pPr>
              <w:jc w:val="both"/>
              <w:rPr>
                <w:rFonts w:ascii="Times New Roman" w:hAnsi="Times New Roman" w:cs="Times New Roman"/>
              </w:rPr>
            </w:pPr>
          </w:p>
        </w:tc>
        <w:tc>
          <w:tcPr>
            <w:tcW w:w="396" w:type="pct"/>
            <w:vMerge/>
            <w:noWrap/>
            <w:hideMark/>
          </w:tcPr>
          <w:p w14:paraId="3B10C6BE" w14:textId="007DEAC1" w:rsidR="00FD60FD" w:rsidRPr="005C429C" w:rsidRDefault="00FD60FD" w:rsidP="00B63A86">
            <w:pPr>
              <w:jc w:val="both"/>
              <w:rPr>
                <w:rFonts w:ascii="Times New Roman" w:hAnsi="Times New Roman" w:cs="Times New Roman"/>
              </w:rPr>
            </w:pPr>
          </w:p>
        </w:tc>
        <w:tc>
          <w:tcPr>
            <w:tcW w:w="421" w:type="pct"/>
            <w:vMerge/>
            <w:noWrap/>
            <w:hideMark/>
          </w:tcPr>
          <w:p w14:paraId="0DA528AA" w14:textId="69A62457" w:rsidR="00FD60FD" w:rsidRPr="005C429C" w:rsidRDefault="00FD60FD" w:rsidP="00B63A86">
            <w:pPr>
              <w:jc w:val="both"/>
              <w:rPr>
                <w:rFonts w:ascii="Times New Roman" w:hAnsi="Times New Roman" w:cs="Times New Roman"/>
              </w:rPr>
            </w:pPr>
          </w:p>
        </w:tc>
        <w:tc>
          <w:tcPr>
            <w:tcW w:w="1248" w:type="pct"/>
            <w:noWrap/>
            <w:hideMark/>
          </w:tcPr>
          <w:p w14:paraId="1415B9BB"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6mg/kg or 10mg/kg</w:t>
            </w:r>
          </w:p>
        </w:tc>
        <w:tc>
          <w:tcPr>
            <w:tcW w:w="516" w:type="pct"/>
            <w:noWrap/>
            <w:hideMark/>
          </w:tcPr>
          <w:p w14:paraId="208308B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547</w:t>
            </w:r>
          </w:p>
        </w:tc>
        <w:tc>
          <w:tcPr>
            <w:tcW w:w="950" w:type="pct"/>
            <w:noWrap/>
            <w:hideMark/>
          </w:tcPr>
          <w:p w14:paraId="5DF1F66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80</w:t>
            </w:r>
          </w:p>
        </w:tc>
        <w:tc>
          <w:tcPr>
            <w:tcW w:w="375" w:type="pct"/>
            <w:noWrap/>
            <w:hideMark/>
          </w:tcPr>
          <w:p w14:paraId="268771F1"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20</w:t>
            </w:r>
          </w:p>
        </w:tc>
      </w:tr>
      <w:tr w:rsidR="00241C9A" w:rsidRPr="005C429C" w14:paraId="2D610486" w14:textId="77777777" w:rsidTr="008B293B">
        <w:trPr>
          <w:trHeight w:val="284"/>
        </w:trPr>
        <w:tc>
          <w:tcPr>
            <w:tcW w:w="542" w:type="pct"/>
            <w:vMerge w:val="restart"/>
            <w:noWrap/>
            <w:hideMark/>
          </w:tcPr>
          <w:p w14:paraId="4C86B8AC" w14:textId="0D1D50E2" w:rsidR="00FD60FD" w:rsidRPr="005C429C" w:rsidRDefault="00FD60FD" w:rsidP="00B63A86">
            <w:pPr>
              <w:jc w:val="both"/>
              <w:rPr>
                <w:rFonts w:ascii="Times New Roman" w:hAnsi="Times New Roman" w:cs="Times New Roman"/>
              </w:rPr>
            </w:pPr>
            <w:r w:rsidRPr="005C429C">
              <w:rPr>
                <w:rFonts w:ascii="Times New Roman" w:hAnsi="Times New Roman" w:cs="Times New Roman"/>
              </w:rPr>
              <w:t>ENGAGE </w:t>
            </w:r>
          </w:p>
          <w:p w14:paraId="494C7BF0" w14:textId="676771A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551" w:type="pct"/>
            <w:vMerge w:val="restart"/>
            <w:noWrap/>
            <w:hideMark/>
          </w:tcPr>
          <w:p w14:paraId="05A7C3E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NCT02477800</w:t>
            </w:r>
          </w:p>
          <w:p w14:paraId="10126F6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163B8460" w14:textId="2E485BAC"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30A2E749" w14:textId="66B41F49" w:rsidR="00FD60FD" w:rsidRPr="005C429C" w:rsidRDefault="00FD60FD" w:rsidP="00B63A86">
            <w:pPr>
              <w:jc w:val="both"/>
              <w:rPr>
                <w:rFonts w:ascii="Times New Roman" w:hAnsi="Times New Roman" w:cs="Times New Roman"/>
              </w:rPr>
            </w:pPr>
            <w:r w:rsidRPr="005C429C">
              <w:rPr>
                <w:rFonts w:ascii="Times New Roman" w:hAnsi="Times New Roman" w:cs="Times New Roman"/>
              </w:rPr>
              <w:t>Aducanumab</w:t>
            </w:r>
          </w:p>
          <w:p w14:paraId="045216B8" w14:textId="748F985C"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421" w:type="pct"/>
            <w:vMerge w:val="restart"/>
            <w:noWrap/>
            <w:hideMark/>
          </w:tcPr>
          <w:p w14:paraId="476644C4"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76 weeks</w:t>
            </w:r>
          </w:p>
          <w:p w14:paraId="3968F061"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5C3E3B07" w14:textId="09DA7AE1"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5A6B5F7F"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643B70D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545</w:t>
            </w:r>
          </w:p>
        </w:tc>
        <w:tc>
          <w:tcPr>
            <w:tcW w:w="950" w:type="pct"/>
            <w:noWrap/>
            <w:hideMark/>
          </w:tcPr>
          <w:p w14:paraId="5763C80F"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81</w:t>
            </w:r>
          </w:p>
        </w:tc>
        <w:tc>
          <w:tcPr>
            <w:tcW w:w="375" w:type="pct"/>
            <w:noWrap/>
            <w:hideMark/>
          </w:tcPr>
          <w:p w14:paraId="29FEC1E4"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19</w:t>
            </w:r>
          </w:p>
        </w:tc>
      </w:tr>
      <w:tr w:rsidR="00241C9A" w:rsidRPr="005C429C" w14:paraId="4B24983D" w14:textId="77777777" w:rsidTr="008B293B">
        <w:trPr>
          <w:trHeight w:val="284"/>
        </w:trPr>
        <w:tc>
          <w:tcPr>
            <w:tcW w:w="542" w:type="pct"/>
            <w:vMerge/>
            <w:noWrap/>
            <w:hideMark/>
          </w:tcPr>
          <w:p w14:paraId="7DF74119" w14:textId="2AF93BE8" w:rsidR="00FD60FD" w:rsidRPr="005C429C" w:rsidRDefault="00FD60FD" w:rsidP="00B63A86">
            <w:pPr>
              <w:jc w:val="both"/>
              <w:rPr>
                <w:rFonts w:ascii="Times New Roman" w:hAnsi="Times New Roman" w:cs="Times New Roman"/>
              </w:rPr>
            </w:pPr>
          </w:p>
        </w:tc>
        <w:tc>
          <w:tcPr>
            <w:tcW w:w="551" w:type="pct"/>
            <w:vMerge/>
            <w:noWrap/>
            <w:hideMark/>
          </w:tcPr>
          <w:p w14:paraId="118953AC" w14:textId="2BDAD846" w:rsidR="00FD60FD" w:rsidRPr="005C429C" w:rsidRDefault="00FD60FD" w:rsidP="00B63A86">
            <w:pPr>
              <w:jc w:val="both"/>
              <w:rPr>
                <w:rFonts w:ascii="Times New Roman" w:hAnsi="Times New Roman" w:cs="Times New Roman"/>
              </w:rPr>
            </w:pPr>
          </w:p>
        </w:tc>
        <w:tc>
          <w:tcPr>
            <w:tcW w:w="396" w:type="pct"/>
            <w:vMerge/>
            <w:noWrap/>
            <w:hideMark/>
          </w:tcPr>
          <w:p w14:paraId="5C5B9D10" w14:textId="5A53547A" w:rsidR="00FD60FD" w:rsidRPr="005C429C" w:rsidRDefault="00FD60FD" w:rsidP="00B63A86">
            <w:pPr>
              <w:jc w:val="both"/>
              <w:rPr>
                <w:rFonts w:ascii="Times New Roman" w:hAnsi="Times New Roman" w:cs="Times New Roman"/>
              </w:rPr>
            </w:pPr>
          </w:p>
        </w:tc>
        <w:tc>
          <w:tcPr>
            <w:tcW w:w="421" w:type="pct"/>
            <w:vMerge/>
            <w:noWrap/>
            <w:hideMark/>
          </w:tcPr>
          <w:p w14:paraId="41A555C4" w14:textId="09D4E51D" w:rsidR="00FD60FD" w:rsidRPr="005C429C" w:rsidRDefault="00FD60FD" w:rsidP="00B63A86">
            <w:pPr>
              <w:jc w:val="both"/>
              <w:rPr>
                <w:rFonts w:ascii="Times New Roman" w:hAnsi="Times New Roman" w:cs="Times New Roman"/>
              </w:rPr>
            </w:pPr>
          </w:p>
        </w:tc>
        <w:tc>
          <w:tcPr>
            <w:tcW w:w="1248" w:type="pct"/>
            <w:noWrap/>
            <w:hideMark/>
          </w:tcPr>
          <w:p w14:paraId="7ED809B4"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3mg/kg or 6mg/kg</w:t>
            </w:r>
          </w:p>
        </w:tc>
        <w:tc>
          <w:tcPr>
            <w:tcW w:w="516" w:type="pct"/>
            <w:noWrap/>
            <w:hideMark/>
          </w:tcPr>
          <w:p w14:paraId="40F945D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547</w:t>
            </w:r>
          </w:p>
        </w:tc>
        <w:tc>
          <w:tcPr>
            <w:tcW w:w="950" w:type="pct"/>
            <w:noWrap/>
            <w:hideMark/>
          </w:tcPr>
          <w:p w14:paraId="35F9F259"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80</w:t>
            </w:r>
          </w:p>
        </w:tc>
        <w:tc>
          <w:tcPr>
            <w:tcW w:w="375" w:type="pct"/>
            <w:noWrap/>
            <w:hideMark/>
          </w:tcPr>
          <w:p w14:paraId="50D3099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20</w:t>
            </w:r>
          </w:p>
        </w:tc>
      </w:tr>
      <w:tr w:rsidR="00241C9A" w:rsidRPr="005C429C" w14:paraId="7A263E49" w14:textId="77777777" w:rsidTr="008B293B">
        <w:trPr>
          <w:trHeight w:val="284"/>
        </w:trPr>
        <w:tc>
          <w:tcPr>
            <w:tcW w:w="542" w:type="pct"/>
            <w:vMerge/>
            <w:noWrap/>
            <w:hideMark/>
          </w:tcPr>
          <w:p w14:paraId="55F12B95" w14:textId="0FFEA664" w:rsidR="00FD60FD" w:rsidRPr="005C429C" w:rsidRDefault="00FD60FD" w:rsidP="00B63A86">
            <w:pPr>
              <w:jc w:val="both"/>
              <w:rPr>
                <w:rFonts w:ascii="Times New Roman" w:hAnsi="Times New Roman" w:cs="Times New Roman"/>
              </w:rPr>
            </w:pPr>
          </w:p>
        </w:tc>
        <w:tc>
          <w:tcPr>
            <w:tcW w:w="551" w:type="pct"/>
            <w:vMerge/>
            <w:noWrap/>
            <w:hideMark/>
          </w:tcPr>
          <w:p w14:paraId="2021E1A7" w14:textId="63F90AAC" w:rsidR="00FD60FD" w:rsidRPr="005C429C" w:rsidRDefault="00FD60FD" w:rsidP="00B63A86">
            <w:pPr>
              <w:jc w:val="both"/>
              <w:rPr>
                <w:rFonts w:ascii="Times New Roman" w:hAnsi="Times New Roman" w:cs="Times New Roman"/>
              </w:rPr>
            </w:pPr>
          </w:p>
        </w:tc>
        <w:tc>
          <w:tcPr>
            <w:tcW w:w="396" w:type="pct"/>
            <w:vMerge/>
            <w:noWrap/>
            <w:hideMark/>
          </w:tcPr>
          <w:p w14:paraId="4EDA7412" w14:textId="1804F623" w:rsidR="00FD60FD" w:rsidRPr="005C429C" w:rsidRDefault="00FD60FD" w:rsidP="00B63A86">
            <w:pPr>
              <w:jc w:val="both"/>
              <w:rPr>
                <w:rFonts w:ascii="Times New Roman" w:hAnsi="Times New Roman" w:cs="Times New Roman"/>
              </w:rPr>
            </w:pPr>
          </w:p>
        </w:tc>
        <w:tc>
          <w:tcPr>
            <w:tcW w:w="421" w:type="pct"/>
            <w:vMerge/>
            <w:noWrap/>
            <w:hideMark/>
          </w:tcPr>
          <w:p w14:paraId="2DA3BD6B" w14:textId="5512DB24" w:rsidR="00FD60FD" w:rsidRPr="005C429C" w:rsidRDefault="00FD60FD" w:rsidP="00B63A86">
            <w:pPr>
              <w:jc w:val="both"/>
              <w:rPr>
                <w:rFonts w:ascii="Times New Roman" w:hAnsi="Times New Roman" w:cs="Times New Roman"/>
              </w:rPr>
            </w:pPr>
          </w:p>
        </w:tc>
        <w:tc>
          <w:tcPr>
            <w:tcW w:w="1248" w:type="pct"/>
            <w:noWrap/>
            <w:hideMark/>
          </w:tcPr>
          <w:p w14:paraId="7DA6746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6mg/kg or 10mg/kg</w:t>
            </w:r>
          </w:p>
        </w:tc>
        <w:tc>
          <w:tcPr>
            <w:tcW w:w="516" w:type="pct"/>
            <w:noWrap/>
            <w:hideMark/>
          </w:tcPr>
          <w:p w14:paraId="75CC9F0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555</w:t>
            </w:r>
          </w:p>
        </w:tc>
        <w:tc>
          <w:tcPr>
            <w:tcW w:w="950" w:type="pct"/>
            <w:noWrap/>
            <w:hideMark/>
          </w:tcPr>
          <w:p w14:paraId="45FCF8DA"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80</w:t>
            </w:r>
          </w:p>
        </w:tc>
        <w:tc>
          <w:tcPr>
            <w:tcW w:w="375" w:type="pct"/>
            <w:noWrap/>
            <w:hideMark/>
          </w:tcPr>
          <w:p w14:paraId="14E3970B"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20</w:t>
            </w:r>
          </w:p>
        </w:tc>
      </w:tr>
      <w:tr w:rsidR="00241C9A" w:rsidRPr="005C429C" w14:paraId="21B084DA" w14:textId="77777777" w:rsidTr="008B293B">
        <w:trPr>
          <w:trHeight w:val="284"/>
        </w:trPr>
        <w:tc>
          <w:tcPr>
            <w:tcW w:w="542" w:type="pct"/>
            <w:vMerge w:val="restart"/>
            <w:noWrap/>
            <w:hideMark/>
          </w:tcPr>
          <w:p w14:paraId="09F75407" w14:textId="3417B8E7" w:rsidR="00FD60FD" w:rsidRPr="005C429C" w:rsidRDefault="00FD60FD" w:rsidP="00B63A86">
            <w:pPr>
              <w:jc w:val="both"/>
              <w:rPr>
                <w:rFonts w:ascii="Times New Roman" w:hAnsi="Times New Roman" w:cs="Times New Roman"/>
              </w:rPr>
            </w:pPr>
            <w:r w:rsidRPr="005C429C">
              <w:rPr>
                <w:rFonts w:ascii="Times New Roman" w:hAnsi="Times New Roman" w:cs="Times New Roman"/>
              </w:rPr>
              <w:t>PRIME </w:t>
            </w:r>
          </w:p>
          <w:p w14:paraId="705F549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143C88E9"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715D0FB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283066B0" w14:textId="1A309462"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551" w:type="pct"/>
            <w:vMerge w:val="restart"/>
            <w:noWrap/>
            <w:hideMark/>
          </w:tcPr>
          <w:p w14:paraId="53B413D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NCT01677572</w:t>
            </w:r>
          </w:p>
          <w:p w14:paraId="3E6935FB"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6548BE1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32B16561"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5A8AF8BA"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63E044A1" w14:textId="2074E425"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14DFF812" w14:textId="3A07F464" w:rsidR="00FD60FD" w:rsidRPr="005C429C" w:rsidRDefault="00FD60FD" w:rsidP="00B63A86">
            <w:pPr>
              <w:jc w:val="both"/>
              <w:rPr>
                <w:rFonts w:ascii="Times New Roman" w:hAnsi="Times New Roman" w:cs="Times New Roman"/>
              </w:rPr>
            </w:pPr>
            <w:r w:rsidRPr="005C429C">
              <w:rPr>
                <w:rFonts w:ascii="Times New Roman" w:hAnsi="Times New Roman" w:cs="Times New Roman"/>
              </w:rPr>
              <w:t>Aducanumab</w:t>
            </w:r>
          </w:p>
          <w:p w14:paraId="6F3C94A4"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021F4A1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2DB5B466" w14:textId="05695D00"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421" w:type="pct"/>
            <w:vMerge w:val="restart"/>
            <w:noWrap/>
            <w:hideMark/>
          </w:tcPr>
          <w:p w14:paraId="5BC2F14F"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54 weeks</w:t>
            </w:r>
          </w:p>
          <w:p w14:paraId="60B048B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65E1F58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289561F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05DAED8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2ED673B7" w14:textId="3AD66C58"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7421F1F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554CA3AA"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48</w:t>
            </w:r>
          </w:p>
        </w:tc>
        <w:tc>
          <w:tcPr>
            <w:tcW w:w="950" w:type="pct"/>
            <w:noWrap/>
            <w:hideMark/>
          </w:tcPr>
          <w:p w14:paraId="782F923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46</w:t>
            </w:r>
          </w:p>
        </w:tc>
        <w:tc>
          <w:tcPr>
            <w:tcW w:w="375" w:type="pct"/>
            <w:noWrap/>
            <w:hideMark/>
          </w:tcPr>
          <w:p w14:paraId="540A141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54</w:t>
            </w:r>
          </w:p>
        </w:tc>
      </w:tr>
      <w:tr w:rsidR="00241C9A" w:rsidRPr="005C429C" w14:paraId="677CE25F" w14:textId="77777777" w:rsidTr="008B293B">
        <w:trPr>
          <w:trHeight w:val="284"/>
        </w:trPr>
        <w:tc>
          <w:tcPr>
            <w:tcW w:w="542" w:type="pct"/>
            <w:vMerge/>
            <w:noWrap/>
            <w:hideMark/>
          </w:tcPr>
          <w:p w14:paraId="0BE56D46" w14:textId="4A1AEE9F" w:rsidR="00FD60FD" w:rsidRPr="005C429C" w:rsidRDefault="00FD60FD" w:rsidP="00B63A86">
            <w:pPr>
              <w:jc w:val="both"/>
              <w:rPr>
                <w:rFonts w:ascii="Times New Roman" w:hAnsi="Times New Roman" w:cs="Times New Roman"/>
              </w:rPr>
            </w:pPr>
          </w:p>
        </w:tc>
        <w:tc>
          <w:tcPr>
            <w:tcW w:w="551" w:type="pct"/>
            <w:vMerge/>
            <w:noWrap/>
            <w:hideMark/>
          </w:tcPr>
          <w:p w14:paraId="7B9DD43E" w14:textId="1FAD3AC3" w:rsidR="00FD60FD" w:rsidRPr="005C429C" w:rsidRDefault="00FD60FD" w:rsidP="00B63A86">
            <w:pPr>
              <w:jc w:val="both"/>
              <w:rPr>
                <w:rFonts w:ascii="Times New Roman" w:hAnsi="Times New Roman" w:cs="Times New Roman"/>
              </w:rPr>
            </w:pPr>
          </w:p>
        </w:tc>
        <w:tc>
          <w:tcPr>
            <w:tcW w:w="396" w:type="pct"/>
            <w:vMerge/>
            <w:noWrap/>
            <w:hideMark/>
          </w:tcPr>
          <w:p w14:paraId="70E4491A" w14:textId="356DF8A3" w:rsidR="00FD60FD" w:rsidRPr="005C429C" w:rsidRDefault="00FD60FD" w:rsidP="00B63A86">
            <w:pPr>
              <w:jc w:val="both"/>
              <w:rPr>
                <w:rFonts w:ascii="Times New Roman" w:hAnsi="Times New Roman" w:cs="Times New Roman"/>
              </w:rPr>
            </w:pPr>
          </w:p>
        </w:tc>
        <w:tc>
          <w:tcPr>
            <w:tcW w:w="421" w:type="pct"/>
            <w:vMerge/>
            <w:noWrap/>
            <w:hideMark/>
          </w:tcPr>
          <w:p w14:paraId="00D570F2" w14:textId="1943DEB1" w:rsidR="00FD60FD" w:rsidRPr="005C429C" w:rsidRDefault="00FD60FD" w:rsidP="00B63A86">
            <w:pPr>
              <w:jc w:val="both"/>
              <w:rPr>
                <w:rFonts w:ascii="Times New Roman" w:hAnsi="Times New Roman" w:cs="Times New Roman"/>
              </w:rPr>
            </w:pPr>
          </w:p>
        </w:tc>
        <w:tc>
          <w:tcPr>
            <w:tcW w:w="1248" w:type="pct"/>
            <w:noWrap/>
            <w:hideMark/>
          </w:tcPr>
          <w:p w14:paraId="175AA931"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 mg/kg</w:t>
            </w:r>
          </w:p>
        </w:tc>
        <w:tc>
          <w:tcPr>
            <w:tcW w:w="516" w:type="pct"/>
            <w:noWrap/>
            <w:hideMark/>
          </w:tcPr>
          <w:p w14:paraId="0C1975E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31</w:t>
            </w:r>
          </w:p>
        </w:tc>
        <w:tc>
          <w:tcPr>
            <w:tcW w:w="950" w:type="pct"/>
            <w:noWrap/>
            <w:hideMark/>
          </w:tcPr>
          <w:p w14:paraId="47CCC744"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32</w:t>
            </w:r>
          </w:p>
        </w:tc>
        <w:tc>
          <w:tcPr>
            <w:tcW w:w="375" w:type="pct"/>
            <w:noWrap/>
            <w:hideMark/>
          </w:tcPr>
          <w:p w14:paraId="1605619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68</w:t>
            </w:r>
          </w:p>
        </w:tc>
      </w:tr>
      <w:tr w:rsidR="00241C9A" w:rsidRPr="005C429C" w14:paraId="619E094C" w14:textId="77777777" w:rsidTr="008B293B">
        <w:trPr>
          <w:trHeight w:val="284"/>
        </w:trPr>
        <w:tc>
          <w:tcPr>
            <w:tcW w:w="542" w:type="pct"/>
            <w:vMerge/>
            <w:noWrap/>
            <w:hideMark/>
          </w:tcPr>
          <w:p w14:paraId="3D054987" w14:textId="7CB74321" w:rsidR="00FD60FD" w:rsidRPr="005C429C" w:rsidRDefault="00FD60FD" w:rsidP="00B63A86">
            <w:pPr>
              <w:jc w:val="both"/>
              <w:rPr>
                <w:rFonts w:ascii="Times New Roman" w:hAnsi="Times New Roman" w:cs="Times New Roman"/>
              </w:rPr>
            </w:pPr>
          </w:p>
        </w:tc>
        <w:tc>
          <w:tcPr>
            <w:tcW w:w="551" w:type="pct"/>
            <w:vMerge/>
            <w:noWrap/>
            <w:hideMark/>
          </w:tcPr>
          <w:p w14:paraId="0EE292EB" w14:textId="3BCF50BE" w:rsidR="00FD60FD" w:rsidRPr="005C429C" w:rsidRDefault="00FD60FD" w:rsidP="00B63A86">
            <w:pPr>
              <w:jc w:val="both"/>
              <w:rPr>
                <w:rFonts w:ascii="Times New Roman" w:hAnsi="Times New Roman" w:cs="Times New Roman"/>
              </w:rPr>
            </w:pPr>
          </w:p>
        </w:tc>
        <w:tc>
          <w:tcPr>
            <w:tcW w:w="396" w:type="pct"/>
            <w:vMerge/>
            <w:noWrap/>
            <w:hideMark/>
          </w:tcPr>
          <w:p w14:paraId="252AF0CD" w14:textId="0536182C" w:rsidR="00FD60FD" w:rsidRPr="005C429C" w:rsidRDefault="00FD60FD" w:rsidP="00B63A86">
            <w:pPr>
              <w:jc w:val="both"/>
              <w:rPr>
                <w:rFonts w:ascii="Times New Roman" w:hAnsi="Times New Roman" w:cs="Times New Roman"/>
              </w:rPr>
            </w:pPr>
          </w:p>
        </w:tc>
        <w:tc>
          <w:tcPr>
            <w:tcW w:w="421" w:type="pct"/>
            <w:vMerge/>
            <w:noWrap/>
            <w:hideMark/>
          </w:tcPr>
          <w:p w14:paraId="7B64C17C" w14:textId="1A9F632C" w:rsidR="00FD60FD" w:rsidRPr="005C429C" w:rsidRDefault="00FD60FD" w:rsidP="00B63A86">
            <w:pPr>
              <w:jc w:val="both"/>
              <w:rPr>
                <w:rFonts w:ascii="Times New Roman" w:hAnsi="Times New Roman" w:cs="Times New Roman"/>
              </w:rPr>
            </w:pPr>
          </w:p>
        </w:tc>
        <w:tc>
          <w:tcPr>
            <w:tcW w:w="1248" w:type="pct"/>
            <w:noWrap/>
            <w:hideMark/>
          </w:tcPr>
          <w:p w14:paraId="635FAA2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 mg/kg</w:t>
            </w:r>
          </w:p>
        </w:tc>
        <w:tc>
          <w:tcPr>
            <w:tcW w:w="516" w:type="pct"/>
            <w:noWrap/>
            <w:hideMark/>
          </w:tcPr>
          <w:p w14:paraId="680FA0F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32</w:t>
            </w:r>
          </w:p>
        </w:tc>
        <w:tc>
          <w:tcPr>
            <w:tcW w:w="950" w:type="pct"/>
            <w:noWrap/>
            <w:hideMark/>
          </w:tcPr>
          <w:p w14:paraId="3A9EF4CE"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44</w:t>
            </w:r>
          </w:p>
        </w:tc>
        <w:tc>
          <w:tcPr>
            <w:tcW w:w="375" w:type="pct"/>
            <w:noWrap/>
            <w:hideMark/>
          </w:tcPr>
          <w:p w14:paraId="7F224AD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56</w:t>
            </w:r>
          </w:p>
        </w:tc>
      </w:tr>
      <w:tr w:rsidR="00241C9A" w:rsidRPr="005C429C" w14:paraId="5FAEC555" w14:textId="77777777" w:rsidTr="008B293B">
        <w:trPr>
          <w:trHeight w:val="284"/>
        </w:trPr>
        <w:tc>
          <w:tcPr>
            <w:tcW w:w="542" w:type="pct"/>
            <w:vMerge/>
            <w:noWrap/>
            <w:hideMark/>
          </w:tcPr>
          <w:p w14:paraId="06D797BB" w14:textId="3C757C93" w:rsidR="00FD60FD" w:rsidRPr="005C429C" w:rsidRDefault="00FD60FD" w:rsidP="00B63A86">
            <w:pPr>
              <w:jc w:val="both"/>
              <w:rPr>
                <w:rFonts w:ascii="Times New Roman" w:hAnsi="Times New Roman" w:cs="Times New Roman"/>
              </w:rPr>
            </w:pPr>
          </w:p>
        </w:tc>
        <w:tc>
          <w:tcPr>
            <w:tcW w:w="551" w:type="pct"/>
            <w:vMerge/>
            <w:noWrap/>
            <w:hideMark/>
          </w:tcPr>
          <w:p w14:paraId="17E4A2B9" w14:textId="6847319E" w:rsidR="00FD60FD" w:rsidRPr="005C429C" w:rsidRDefault="00FD60FD" w:rsidP="00B63A86">
            <w:pPr>
              <w:jc w:val="both"/>
              <w:rPr>
                <w:rFonts w:ascii="Times New Roman" w:hAnsi="Times New Roman" w:cs="Times New Roman"/>
              </w:rPr>
            </w:pPr>
          </w:p>
        </w:tc>
        <w:tc>
          <w:tcPr>
            <w:tcW w:w="396" w:type="pct"/>
            <w:vMerge/>
            <w:noWrap/>
            <w:hideMark/>
          </w:tcPr>
          <w:p w14:paraId="3943591E" w14:textId="365892D9" w:rsidR="00FD60FD" w:rsidRPr="005C429C" w:rsidRDefault="00FD60FD" w:rsidP="00B63A86">
            <w:pPr>
              <w:jc w:val="both"/>
              <w:rPr>
                <w:rFonts w:ascii="Times New Roman" w:hAnsi="Times New Roman" w:cs="Times New Roman"/>
              </w:rPr>
            </w:pPr>
          </w:p>
        </w:tc>
        <w:tc>
          <w:tcPr>
            <w:tcW w:w="421" w:type="pct"/>
            <w:vMerge/>
            <w:noWrap/>
            <w:hideMark/>
          </w:tcPr>
          <w:p w14:paraId="67BE996E" w14:textId="122E0E69" w:rsidR="00FD60FD" w:rsidRPr="005C429C" w:rsidRDefault="00FD60FD" w:rsidP="00B63A86">
            <w:pPr>
              <w:jc w:val="both"/>
              <w:rPr>
                <w:rFonts w:ascii="Times New Roman" w:hAnsi="Times New Roman" w:cs="Times New Roman"/>
              </w:rPr>
            </w:pPr>
          </w:p>
        </w:tc>
        <w:tc>
          <w:tcPr>
            <w:tcW w:w="1248" w:type="pct"/>
            <w:noWrap/>
            <w:hideMark/>
          </w:tcPr>
          <w:p w14:paraId="1611006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 mg/kg</w:t>
            </w:r>
          </w:p>
        </w:tc>
        <w:tc>
          <w:tcPr>
            <w:tcW w:w="516" w:type="pct"/>
            <w:noWrap/>
            <w:hideMark/>
          </w:tcPr>
          <w:p w14:paraId="254866E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30</w:t>
            </w:r>
          </w:p>
        </w:tc>
        <w:tc>
          <w:tcPr>
            <w:tcW w:w="950" w:type="pct"/>
            <w:noWrap/>
            <w:hideMark/>
          </w:tcPr>
          <w:p w14:paraId="65A0615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40</w:t>
            </w:r>
          </w:p>
        </w:tc>
        <w:tc>
          <w:tcPr>
            <w:tcW w:w="375" w:type="pct"/>
            <w:noWrap/>
            <w:hideMark/>
          </w:tcPr>
          <w:p w14:paraId="54C3340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60</w:t>
            </w:r>
          </w:p>
        </w:tc>
      </w:tr>
      <w:tr w:rsidR="00241C9A" w:rsidRPr="005C429C" w14:paraId="181A2E9B" w14:textId="77777777" w:rsidTr="008B293B">
        <w:trPr>
          <w:trHeight w:val="284"/>
        </w:trPr>
        <w:tc>
          <w:tcPr>
            <w:tcW w:w="542" w:type="pct"/>
            <w:vMerge/>
            <w:noWrap/>
            <w:hideMark/>
          </w:tcPr>
          <w:p w14:paraId="4ED525D8" w14:textId="602C98E9" w:rsidR="00FD60FD" w:rsidRPr="005C429C" w:rsidRDefault="00FD60FD" w:rsidP="00B63A86">
            <w:pPr>
              <w:jc w:val="both"/>
              <w:rPr>
                <w:rFonts w:ascii="Times New Roman" w:hAnsi="Times New Roman" w:cs="Times New Roman"/>
              </w:rPr>
            </w:pPr>
          </w:p>
        </w:tc>
        <w:tc>
          <w:tcPr>
            <w:tcW w:w="551" w:type="pct"/>
            <w:vMerge/>
            <w:noWrap/>
            <w:hideMark/>
          </w:tcPr>
          <w:p w14:paraId="6219B2BF" w14:textId="2FEA1B75" w:rsidR="00FD60FD" w:rsidRPr="005C429C" w:rsidRDefault="00FD60FD" w:rsidP="00B63A86">
            <w:pPr>
              <w:jc w:val="both"/>
              <w:rPr>
                <w:rFonts w:ascii="Times New Roman" w:hAnsi="Times New Roman" w:cs="Times New Roman"/>
              </w:rPr>
            </w:pPr>
          </w:p>
        </w:tc>
        <w:tc>
          <w:tcPr>
            <w:tcW w:w="396" w:type="pct"/>
            <w:vMerge/>
            <w:noWrap/>
            <w:hideMark/>
          </w:tcPr>
          <w:p w14:paraId="0EEB3D14" w14:textId="20BB0860" w:rsidR="00FD60FD" w:rsidRPr="005C429C" w:rsidRDefault="00FD60FD" w:rsidP="00B63A86">
            <w:pPr>
              <w:jc w:val="both"/>
              <w:rPr>
                <w:rFonts w:ascii="Times New Roman" w:hAnsi="Times New Roman" w:cs="Times New Roman"/>
              </w:rPr>
            </w:pPr>
          </w:p>
        </w:tc>
        <w:tc>
          <w:tcPr>
            <w:tcW w:w="421" w:type="pct"/>
            <w:vMerge/>
            <w:noWrap/>
            <w:hideMark/>
          </w:tcPr>
          <w:p w14:paraId="7192ED1F" w14:textId="73049602" w:rsidR="00FD60FD" w:rsidRPr="005C429C" w:rsidRDefault="00FD60FD" w:rsidP="00B63A86">
            <w:pPr>
              <w:jc w:val="both"/>
              <w:rPr>
                <w:rFonts w:ascii="Times New Roman" w:hAnsi="Times New Roman" w:cs="Times New Roman"/>
              </w:rPr>
            </w:pPr>
          </w:p>
        </w:tc>
        <w:tc>
          <w:tcPr>
            <w:tcW w:w="1248" w:type="pct"/>
            <w:noWrap/>
            <w:hideMark/>
          </w:tcPr>
          <w:p w14:paraId="2C9FBBB1"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10 mg/kg</w:t>
            </w:r>
          </w:p>
        </w:tc>
        <w:tc>
          <w:tcPr>
            <w:tcW w:w="516" w:type="pct"/>
            <w:noWrap/>
            <w:hideMark/>
          </w:tcPr>
          <w:p w14:paraId="06F051D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32</w:t>
            </w:r>
          </w:p>
        </w:tc>
        <w:tc>
          <w:tcPr>
            <w:tcW w:w="950" w:type="pct"/>
            <w:noWrap/>
            <w:hideMark/>
          </w:tcPr>
          <w:p w14:paraId="4C80651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41</w:t>
            </w:r>
          </w:p>
        </w:tc>
        <w:tc>
          <w:tcPr>
            <w:tcW w:w="375" w:type="pct"/>
            <w:noWrap/>
            <w:hideMark/>
          </w:tcPr>
          <w:p w14:paraId="74B3283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59</w:t>
            </w:r>
          </w:p>
        </w:tc>
      </w:tr>
      <w:tr w:rsidR="00241C9A" w:rsidRPr="005C429C" w14:paraId="1C817C13" w14:textId="77777777" w:rsidTr="008B293B">
        <w:trPr>
          <w:trHeight w:val="284"/>
        </w:trPr>
        <w:tc>
          <w:tcPr>
            <w:tcW w:w="542" w:type="pct"/>
            <w:vMerge/>
            <w:noWrap/>
            <w:hideMark/>
          </w:tcPr>
          <w:p w14:paraId="3F7AB05F" w14:textId="33D36BFD" w:rsidR="00FD60FD" w:rsidRPr="005C429C" w:rsidRDefault="00FD60FD" w:rsidP="00B63A86">
            <w:pPr>
              <w:jc w:val="both"/>
              <w:rPr>
                <w:rFonts w:ascii="Times New Roman" w:hAnsi="Times New Roman" w:cs="Times New Roman"/>
              </w:rPr>
            </w:pPr>
          </w:p>
        </w:tc>
        <w:tc>
          <w:tcPr>
            <w:tcW w:w="551" w:type="pct"/>
            <w:vMerge/>
            <w:noWrap/>
            <w:hideMark/>
          </w:tcPr>
          <w:p w14:paraId="60CD11F7" w14:textId="15B0F435" w:rsidR="00FD60FD" w:rsidRPr="005C429C" w:rsidRDefault="00FD60FD" w:rsidP="00B63A86">
            <w:pPr>
              <w:jc w:val="both"/>
              <w:rPr>
                <w:rFonts w:ascii="Times New Roman" w:hAnsi="Times New Roman" w:cs="Times New Roman"/>
              </w:rPr>
            </w:pPr>
          </w:p>
        </w:tc>
        <w:tc>
          <w:tcPr>
            <w:tcW w:w="396" w:type="pct"/>
            <w:vMerge/>
            <w:noWrap/>
            <w:hideMark/>
          </w:tcPr>
          <w:p w14:paraId="36370853" w14:textId="3AB8C932" w:rsidR="00FD60FD" w:rsidRPr="005C429C" w:rsidRDefault="00FD60FD" w:rsidP="00B63A86">
            <w:pPr>
              <w:jc w:val="both"/>
              <w:rPr>
                <w:rFonts w:ascii="Times New Roman" w:hAnsi="Times New Roman" w:cs="Times New Roman"/>
              </w:rPr>
            </w:pPr>
          </w:p>
        </w:tc>
        <w:tc>
          <w:tcPr>
            <w:tcW w:w="421" w:type="pct"/>
            <w:vMerge/>
            <w:noWrap/>
            <w:hideMark/>
          </w:tcPr>
          <w:p w14:paraId="78471896" w14:textId="245D44A5" w:rsidR="00FD60FD" w:rsidRPr="005C429C" w:rsidRDefault="00FD60FD" w:rsidP="00B63A86">
            <w:pPr>
              <w:jc w:val="both"/>
              <w:rPr>
                <w:rFonts w:ascii="Times New Roman" w:hAnsi="Times New Roman" w:cs="Times New Roman"/>
              </w:rPr>
            </w:pPr>
          </w:p>
        </w:tc>
        <w:tc>
          <w:tcPr>
            <w:tcW w:w="1248" w:type="pct"/>
            <w:noWrap/>
            <w:hideMark/>
          </w:tcPr>
          <w:p w14:paraId="5A873AC9"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Titration</w:t>
            </w:r>
          </w:p>
        </w:tc>
        <w:tc>
          <w:tcPr>
            <w:tcW w:w="516" w:type="pct"/>
            <w:noWrap/>
            <w:hideMark/>
          </w:tcPr>
          <w:p w14:paraId="10E71A7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23</w:t>
            </w:r>
          </w:p>
        </w:tc>
        <w:tc>
          <w:tcPr>
            <w:tcW w:w="950" w:type="pct"/>
            <w:noWrap/>
            <w:hideMark/>
          </w:tcPr>
          <w:p w14:paraId="0CEE50B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57</w:t>
            </w:r>
          </w:p>
        </w:tc>
        <w:tc>
          <w:tcPr>
            <w:tcW w:w="375" w:type="pct"/>
            <w:noWrap/>
            <w:hideMark/>
          </w:tcPr>
          <w:p w14:paraId="2D9A88DE"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43</w:t>
            </w:r>
          </w:p>
        </w:tc>
      </w:tr>
      <w:tr w:rsidR="00241C9A" w:rsidRPr="005C429C" w14:paraId="7C3A588F" w14:textId="77777777" w:rsidTr="008B293B">
        <w:trPr>
          <w:trHeight w:val="284"/>
        </w:trPr>
        <w:tc>
          <w:tcPr>
            <w:tcW w:w="542" w:type="pct"/>
            <w:vMerge w:val="restart"/>
            <w:noWrap/>
            <w:hideMark/>
          </w:tcPr>
          <w:p w14:paraId="2E81AD0F" w14:textId="1F58FE12" w:rsidR="00FD60FD" w:rsidRPr="005C429C" w:rsidRDefault="00FD60FD" w:rsidP="00241C9A">
            <w:pPr>
              <w:jc w:val="both"/>
              <w:rPr>
                <w:rFonts w:ascii="Times New Roman" w:hAnsi="Times New Roman" w:cs="Times New Roman"/>
              </w:rPr>
            </w:pPr>
            <w:r w:rsidRPr="005C429C">
              <w:rPr>
                <w:rFonts w:ascii="Times New Roman" w:hAnsi="Times New Roman" w:cs="Times New Roman"/>
              </w:rPr>
              <w:t>BAN2401-G000-201 </w:t>
            </w:r>
          </w:p>
        </w:tc>
        <w:tc>
          <w:tcPr>
            <w:tcW w:w="551" w:type="pct"/>
            <w:vMerge w:val="restart"/>
            <w:noWrap/>
            <w:hideMark/>
          </w:tcPr>
          <w:p w14:paraId="2C0BB583" w14:textId="027EB483"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NCT01767311 </w:t>
            </w:r>
          </w:p>
          <w:p w14:paraId="583F351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0BE4664F"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5435ABF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3FD8EF37" w14:textId="2A12A5E1"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66024FA9" w14:textId="3DEB2F34" w:rsidR="00FD60FD" w:rsidRPr="005C429C" w:rsidRDefault="00FD60FD" w:rsidP="00B63A86">
            <w:pPr>
              <w:jc w:val="both"/>
              <w:rPr>
                <w:rFonts w:ascii="Times New Roman" w:hAnsi="Times New Roman" w:cs="Times New Roman"/>
              </w:rPr>
            </w:pPr>
            <w:r w:rsidRPr="005C429C">
              <w:rPr>
                <w:rFonts w:ascii="Times New Roman" w:hAnsi="Times New Roman" w:cs="Times New Roman"/>
              </w:rPr>
              <w:t>Lecanemab </w:t>
            </w:r>
          </w:p>
          <w:p w14:paraId="01B6F8D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6374050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005DF7DC" w14:textId="74F2941F"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421" w:type="pct"/>
            <w:vMerge w:val="restart"/>
            <w:noWrap/>
            <w:hideMark/>
          </w:tcPr>
          <w:p w14:paraId="14EA04BB" w14:textId="0D06189E" w:rsidR="00FD60FD" w:rsidRPr="005C429C" w:rsidRDefault="00FD60FD" w:rsidP="00B63A86">
            <w:pPr>
              <w:jc w:val="both"/>
              <w:rPr>
                <w:rFonts w:ascii="Times New Roman" w:hAnsi="Times New Roman" w:cs="Times New Roman"/>
              </w:rPr>
            </w:pPr>
            <w:r w:rsidRPr="005C429C">
              <w:rPr>
                <w:rFonts w:ascii="Times New Roman" w:hAnsi="Times New Roman" w:cs="Times New Roman"/>
              </w:rPr>
              <w:t>18 months </w:t>
            </w:r>
          </w:p>
          <w:p w14:paraId="70C4265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3000B2F9"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25DED79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2FFA7576" w14:textId="7101B39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3678EEB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586B735E"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238</w:t>
            </w:r>
          </w:p>
        </w:tc>
        <w:tc>
          <w:tcPr>
            <w:tcW w:w="950" w:type="pct"/>
            <w:noWrap/>
            <w:hideMark/>
          </w:tcPr>
          <w:p w14:paraId="2D35CB8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65</w:t>
            </w:r>
          </w:p>
        </w:tc>
        <w:tc>
          <w:tcPr>
            <w:tcW w:w="375" w:type="pct"/>
            <w:noWrap/>
            <w:hideMark/>
          </w:tcPr>
          <w:p w14:paraId="03CD762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35</w:t>
            </w:r>
          </w:p>
        </w:tc>
      </w:tr>
      <w:tr w:rsidR="00241C9A" w:rsidRPr="005C429C" w14:paraId="46E66549" w14:textId="77777777" w:rsidTr="008B293B">
        <w:trPr>
          <w:trHeight w:val="284"/>
        </w:trPr>
        <w:tc>
          <w:tcPr>
            <w:tcW w:w="542" w:type="pct"/>
            <w:vMerge/>
            <w:noWrap/>
            <w:hideMark/>
          </w:tcPr>
          <w:p w14:paraId="65644E19" w14:textId="2929F1FF" w:rsidR="00FD60FD" w:rsidRPr="005C429C" w:rsidRDefault="00FD60FD" w:rsidP="00B63A86">
            <w:pPr>
              <w:jc w:val="both"/>
              <w:rPr>
                <w:rFonts w:ascii="Times New Roman" w:hAnsi="Times New Roman" w:cs="Times New Roman"/>
              </w:rPr>
            </w:pPr>
          </w:p>
        </w:tc>
        <w:tc>
          <w:tcPr>
            <w:tcW w:w="551" w:type="pct"/>
            <w:vMerge/>
            <w:noWrap/>
            <w:hideMark/>
          </w:tcPr>
          <w:p w14:paraId="54150181" w14:textId="5D40F85E" w:rsidR="00FD60FD" w:rsidRPr="005C429C" w:rsidRDefault="00FD60FD" w:rsidP="00B63A86">
            <w:pPr>
              <w:jc w:val="both"/>
              <w:rPr>
                <w:rFonts w:ascii="Times New Roman" w:hAnsi="Times New Roman" w:cs="Times New Roman"/>
              </w:rPr>
            </w:pPr>
          </w:p>
        </w:tc>
        <w:tc>
          <w:tcPr>
            <w:tcW w:w="396" w:type="pct"/>
            <w:vMerge/>
            <w:noWrap/>
            <w:hideMark/>
          </w:tcPr>
          <w:p w14:paraId="44E78555" w14:textId="7D9BE36A" w:rsidR="00FD60FD" w:rsidRPr="005C429C" w:rsidRDefault="00FD60FD" w:rsidP="00B63A86">
            <w:pPr>
              <w:jc w:val="both"/>
              <w:rPr>
                <w:rFonts w:ascii="Times New Roman" w:hAnsi="Times New Roman" w:cs="Times New Roman"/>
              </w:rPr>
            </w:pPr>
          </w:p>
        </w:tc>
        <w:tc>
          <w:tcPr>
            <w:tcW w:w="421" w:type="pct"/>
            <w:vMerge/>
            <w:noWrap/>
            <w:hideMark/>
          </w:tcPr>
          <w:p w14:paraId="00F2F50F" w14:textId="0D7F5337" w:rsidR="00FD60FD" w:rsidRPr="005C429C" w:rsidRDefault="00FD60FD" w:rsidP="00B63A86">
            <w:pPr>
              <w:jc w:val="both"/>
              <w:rPr>
                <w:rFonts w:ascii="Times New Roman" w:hAnsi="Times New Roman" w:cs="Times New Roman"/>
              </w:rPr>
            </w:pPr>
          </w:p>
        </w:tc>
        <w:tc>
          <w:tcPr>
            <w:tcW w:w="1248" w:type="pct"/>
            <w:noWrap/>
            <w:hideMark/>
          </w:tcPr>
          <w:p w14:paraId="03AFF88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2.5 mg/kg biweekly</w:t>
            </w:r>
          </w:p>
        </w:tc>
        <w:tc>
          <w:tcPr>
            <w:tcW w:w="516" w:type="pct"/>
            <w:noWrap/>
            <w:hideMark/>
          </w:tcPr>
          <w:p w14:paraId="10DCF4E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52</w:t>
            </w:r>
          </w:p>
        </w:tc>
        <w:tc>
          <w:tcPr>
            <w:tcW w:w="950" w:type="pct"/>
            <w:noWrap/>
            <w:hideMark/>
          </w:tcPr>
          <w:p w14:paraId="07AB51C9"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65</w:t>
            </w:r>
          </w:p>
        </w:tc>
        <w:tc>
          <w:tcPr>
            <w:tcW w:w="375" w:type="pct"/>
            <w:noWrap/>
            <w:hideMark/>
          </w:tcPr>
          <w:p w14:paraId="526D51C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35</w:t>
            </w:r>
          </w:p>
        </w:tc>
      </w:tr>
      <w:tr w:rsidR="00241C9A" w:rsidRPr="005C429C" w14:paraId="345B1BA0" w14:textId="77777777" w:rsidTr="008B293B">
        <w:trPr>
          <w:trHeight w:val="284"/>
        </w:trPr>
        <w:tc>
          <w:tcPr>
            <w:tcW w:w="542" w:type="pct"/>
            <w:vMerge/>
            <w:noWrap/>
            <w:hideMark/>
          </w:tcPr>
          <w:p w14:paraId="0FC87D76" w14:textId="01AC9589" w:rsidR="00FD60FD" w:rsidRPr="005C429C" w:rsidRDefault="00FD60FD" w:rsidP="00B63A86">
            <w:pPr>
              <w:jc w:val="both"/>
              <w:rPr>
                <w:rFonts w:ascii="Times New Roman" w:hAnsi="Times New Roman" w:cs="Times New Roman"/>
              </w:rPr>
            </w:pPr>
          </w:p>
        </w:tc>
        <w:tc>
          <w:tcPr>
            <w:tcW w:w="551" w:type="pct"/>
            <w:vMerge/>
            <w:noWrap/>
            <w:hideMark/>
          </w:tcPr>
          <w:p w14:paraId="1981C67A" w14:textId="5D874FDF" w:rsidR="00FD60FD" w:rsidRPr="005C429C" w:rsidRDefault="00FD60FD" w:rsidP="00B63A86">
            <w:pPr>
              <w:jc w:val="both"/>
              <w:rPr>
                <w:rFonts w:ascii="Times New Roman" w:hAnsi="Times New Roman" w:cs="Times New Roman"/>
              </w:rPr>
            </w:pPr>
          </w:p>
        </w:tc>
        <w:tc>
          <w:tcPr>
            <w:tcW w:w="396" w:type="pct"/>
            <w:vMerge/>
            <w:noWrap/>
            <w:hideMark/>
          </w:tcPr>
          <w:p w14:paraId="22A7E90D" w14:textId="5F1519BA" w:rsidR="00FD60FD" w:rsidRPr="005C429C" w:rsidRDefault="00FD60FD" w:rsidP="00B63A86">
            <w:pPr>
              <w:jc w:val="both"/>
              <w:rPr>
                <w:rFonts w:ascii="Times New Roman" w:hAnsi="Times New Roman" w:cs="Times New Roman"/>
              </w:rPr>
            </w:pPr>
          </w:p>
        </w:tc>
        <w:tc>
          <w:tcPr>
            <w:tcW w:w="421" w:type="pct"/>
            <w:vMerge/>
            <w:noWrap/>
            <w:hideMark/>
          </w:tcPr>
          <w:p w14:paraId="1EA44A14" w14:textId="1F2E530D" w:rsidR="00FD60FD" w:rsidRPr="005C429C" w:rsidRDefault="00FD60FD" w:rsidP="00B63A86">
            <w:pPr>
              <w:jc w:val="both"/>
              <w:rPr>
                <w:rFonts w:ascii="Times New Roman" w:hAnsi="Times New Roman" w:cs="Times New Roman"/>
              </w:rPr>
            </w:pPr>
          </w:p>
        </w:tc>
        <w:tc>
          <w:tcPr>
            <w:tcW w:w="1248" w:type="pct"/>
            <w:noWrap/>
            <w:hideMark/>
          </w:tcPr>
          <w:p w14:paraId="1FBA9724"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 mg/kg monthly</w:t>
            </w:r>
          </w:p>
        </w:tc>
        <w:tc>
          <w:tcPr>
            <w:tcW w:w="516" w:type="pct"/>
            <w:noWrap/>
            <w:hideMark/>
          </w:tcPr>
          <w:p w14:paraId="54450A8E"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48</w:t>
            </w:r>
          </w:p>
        </w:tc>
        <w:tc>
          <w:tcPr>
            <w:tcW w:w="950" w:type="pct"/>
            <w:noWrap/>
            <w:hideMark/>
          </w:tcPr>
          <w:p w14:paraId="77B2D88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69</w:t>
            </w:r>
          </w:p>
        </w:tc>
        <w:tc>
          <w:tcPr>
            <w:tcW w:w="375" w:type="pct"/>
            <w:noWrap/>
            <w:hideMark/>
          </w:tcPr>
          <w:p w14:paraId="232A99C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31</w:t>
            </w:r>
          </w:p>
        </w:tc>
      </w:tr>
      <w:tr w:rsidR="00241C9A" w:rsidRPr="005C429C" w14:paraId="00776C94" w14:textId="77777777" w:rsidTr="008B293B">
        <w:trPr>
          <w:trHeight w:val="284"/>
        </w:trPr>
        <w:tc>
          <w:tcPr>
            <w:tcW w:w="542" w:type="pct"/>
            <w:vMerge/>
            <w:noWrap/>
            <w:hideMark/>
          </w:tcPr>
          <w:p w14:paraId="263F8DE9" w14:textId="20A34982" w:rsidR="00FD60FD" w:rsidRPr="005C429C" w:rsidRDefault="00FD60FD" w:rsidP="00B63A86">
            <w:pPr>
              <w:jc w:val="both"/>
              <w:rPr>
                <w:rFonts w:ascii="Times New Roman" w:hAnsi="Times New Roman" w:cs="Times New Roman"/>
              </w:rPr>
            </w:pPr>
          </w:p>
        </w:tc>
        <w:tc>
          <w:tcPr>
            <w:tcW w:w="551" w:type="pct"/>
            <w:vMerge/>
            <w:noWrap/>
            <w:hideMark/>
          </w:tcPr>
          <w:p w14:paraId="6F33F3BE" w14:textId="57EA79E8" w:rsidR="00FD60FD" w:rsidRPr="005C429C" w:rsidRDefault="00FD60FD" w:rsidP="00B63A86">
            <w:pPr>
              <w:jc w:val="both"/>
              <w:rPr>
                <w:rFonts w:ascii="Times New Roman" w:hAnsi="Times New Roman" w:cs="Times New Roman"/>
              </w:rPr>
            </w:pPr>
          </w:p>
        </w:tc>
        <w:tc>
          <w:tcPr>
            <w:tcW w:w="396" w:type="pct"/>
            <w:vMerge/>
            <w:noWrap/>
            <w:hideMark/>
          </w:tcPr>
          <w:p w14:paraId="371AA088" w14:textId="11CA9E4D" w:rsidR="00FD60FD" w:rsidRPr="005C429C" w:rsidRDefault="00FD60FD" w:rsidP="00B63A86">
            <w:pPr>
              <w:jc w:val="both"/>
              <w:rPr>
                <w:rFonts w:ascii="Times New Roman" w:hAnsi="Times New Roman" w:cs="Times New Roman"/>
              </w:rPr>
            </w:pPr>
          </w:p>
        </w:tc>
        <w:tc>
          <w:tcPr>
            <w:tcW w:w="421" w:type="pct"/>
            <w:vMerge/>
            <w:noWrap/>
            <w:hideMark/>
          </w:tcPr>
          <w:p w14:paraId="138D5973" w14:textId="1A75F30E" w:rsidR="00FD60FD" w:rsidRPr="005C429C" w:rsidRDefault="00FD60FD" w:rsidP="00B63A86">
            <w:pPr>
              <w:jc w:val="both"/>
              <w:rPr>
                <w:rFonts w:ascii="Times New Roman" w:hAnsi="Times New Roman" w:cs="Times New Roman"/>
              </w:rPr>
            </w:pPr>
          </w:p>
        </w:tc>
        <w:tc>
          <w:tcPr>
            <w:tcW w:w="1248" w:type="pct"/>
            <w:noWrap/>
            <w:hideMark/>
          </w:tcPr>
          <w:p w14:paraId="30AD54AA"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 mg/kg biweekly</w:t>
            </w:r>
          </w:p>
        </w:tc>
        <w:tc>
          <w:tcPr>
            <w:tcW w:w="516" w:type="pct"/>
            <w:noWrap/>
            <w:hideMark/>
          </w:tcPr>
          <w:p w14:paraId="0495C6F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89</w:t>
            </w:r>
          </w:p>
        </w:tc>
        <w:tc>
          <w:tcPr>
            <w:tcW w:w="950" w:type="pct"/>
            <w:noWrap/>
            <w:hideMark/>
          </w:tcPr>
          <w:p w14:paraId="00FEB6F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58</w:t>
            </w:r>
          </w:p>
        </w:tc>
        <w:tc>
          <w:tcPr>
            <w:tcW w:w="375" w:type="pct"/>
            <w:noWrap/>
            <w:hideMark/>
          </w:tcPr>
          <w:p w14:paraId="46BDF54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42</w:t>
            </w:r>
          </w:p>
        </w:tc>
      </w:tr>
      <w:tr w:rsidR="00241C9A" w:rsidRPr="005C429C" w14:paraId="44394F28" w14:textId="77777777" w:rsidTr="008B293B">
        <w:trPr>
          <w:trHeight w:val="284"/>
        </w:trPr>
        <w:tc>
          <w:tcPr>
            <w:tcW w:w="542" w:type="pct"/>
            <w:vMerge/>
            <w:noWrap/>
            <w:hideMark/>
          </w:tcPr>
          <w:p w14:paraId="008D2929" w14:textId="5CBDB763" w:rsidR="00FD60FD" w:rsidRPr="005C429C" w:rsidRDefault="00FD60FD" w:rsidP="00B63A86">
            <w:pPr>
              <w:jc w:val="both"/>
              <w:rPr>
                <w:rFonts w:ascii="Times New Roman" w:hAnsi="Times New Roman" w:cs="Times New Roman"/>
              </w:rPr>
            </w:pPr>
          </w:p>
        </w:tc>
        <w:tc>
          <w:tcPr>
            <w:tcW w:w="551" w:type="pct"/>
            <w:vMerge/>
            <w:noWrap/>
            <w:hideMark/>
          </w:tcPr>
          <w:p w14:paraId="4270B0A2" w14:textId="455270AE" w:rsidR="00FD60FD" w:rsidRPr="005C429C" w:rsidRDefault="00FD60FD" w:rsidP="00B63A86">
            <w:pPr>
              <w:jc w:val="both"/>
              <w:rPr>
                <w:rFonts w:ascii="Times New Roman" w:hAnsi="Times New Roman" w:cs="Times New Roman"/>
              </w:rPr>
            </w:pPr>
          </w:p>
        </w:tc>
        <w:tc>
          <w:tcPr>
            <w:tcW w:w="396" w:type="pct"/>
            <w:vMerge/>
            <w:noWrap/>
            <w:hideMark/>
          </w:tcPr>
          <w:p w14:paraId="783518AA" w14:textId="3C3D982F" w:rsidR="00FD60FD" w:rsidRPr="005C429C" w:rsidRDefault="00FD60FD" w:rsidP="00B63A86">
            <w:pPr>
              <w:jc w:val="both"/>
              <w:rPr>
                <w:rFonts w:ascii="Times New Roman" w:hAnsi="Times New Roman" w:cs="Times New Roman"/>
              </w:rPr>
            </w:pPr>
          </w:p>
        </w:tc>
        <w:tc>
          <w:tcPr>
            <w:tcW w:w="421" w:type="pct"/>
            <w:vMerge/>
            <w:noWrap/>
            <w:hideMark/>
          </w:tcPr>
          <w:p w14:paraId="2800333C" w14:textId="35754C4D" w:rsidR="00FD60FD" w:rsidRPr="005C429C" w:rsidRDefault="00FD60FD" w:rsidP="00B63A86">
            <w:pPr>
              <w:jc w:val="both"/>
              <w:rPr>
                <w:rFonts w:ascii="Times New Roman" w:hAnsi="Times New Roman" w:cs="Times New Roman"/>
              </w:rPr>
            </w:pPr>
          </w:p>
        </w:tc>
        <w:tc>
          <w:tcPr>
            <w:tcW w:w="1248" w:type="pct"/>
            <w:noWrap/>
            <w:hideMark/>
          </w:tcPr>
          <w:p w14:paraId="2ABA59D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10 mg/kg monthly</w:t>
            </w:r>
          </w:p>
        </w:tc>
        <w:tc>
          <w:tcPr>
            <w:tcW w:w="516" w:type="pct"/>
            <w:noWrap/>
            <w:hideMark/>
          </w:tcPr>
          <w:p w14:paraId="4A156D2A"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246</w:t>
            </w:r>
          </w:p>
        </w:tc>
        <w:tc>
          <w:tcPr>
            <w:tcW w:w="950" w:type="pct"/>
            <w:noWrap/>
            <w:hideMark/>
          </w:tcPr>
          <w:p w14:paraId="3309B8DA"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68</w:t>
            </w:r>
          </w:p>
        </w:tc>
        <w:tc>
          <w:tcPr>
            <w:tcW w:w="375" w:type="pct"/>
            <w:noWrap/>
            <w:hideMark/>
          </w:tcPr>
          <w:p w14:paraId="17055FCF"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32</w:t>
            </w:r>
          </w:p>
        </w:tc>
      </w:tr>
      <w:tr w:rsidR="00241C9A" w:rsidRPr="005C429C" w14:paraId="3BE9DBC1" w14:textId="77777777" w:rsidTr="008B293B">
        <w:trPr>
          <w:trHeight w:val="284"/>
        </w:trPr>
        <w:tc>
          <w:tcPr>
            <w:tcW w:w="542" w:type="pct"/>
            <w:vMerge/>
            <w:noWrap/>
            <w:hideMark/>
          </w:tcPr>
          <w:p w14:paraId="659E8BE5" w14:textId="48384CF2" w:rsidR="00FD60FD" w:rsidRPr="005C429C" w:rsidRDefault="00FD60FD" w:rsidP="00B63A86">
            <w:pPr>
              <w:jc w:val="both"/>
              <w:rPr>
                <w:rFonts w:ascii="Times New Roman" w:hAnsi="Times New Roman" w:cs="Times New Roman"/>
              </w:rPr>
            </w:pPr>
          </w:p>
        </w:tc>
        <w:tc>
          <w:tcPr>
            <w:tcW w:w="551" w:type="pct"/>
            <w:vMerge/>
            <w:noWrap/>
            <w:hideMark/>
          </w:tcPr>
          <w:p w14:paraId="0E69AC48" w14:textId="7E5A6F81" w:rsidR="00FD60FD" w:rsidRPr="005C429C" w:rsidRDefault="00FD60FD" w:rsidP="00B63A86">
            <w:pPr>
              <w:jc w:val="both"/>
              <w:rPr>
                <w:rFonts w:ascii="Times New Roman" w:hAnsi="Times New Roman" w:cs="Times New Roman"/>
              </w:rPr>
            </w:pPr>
          </w:p>
        </w:tc>
        <w:tc>
          <w:tcPr>
            <w:tcW w:w="396" w:type="pct"/>
            <w:vMerge/>
            <w:noWrap/>
            <w:hideMark/>
          </w:tcPr>
          <w:p w14:paraId="070302B4" w14:textId="49FE383B" w:rsidR="00FD60FD" w:rsidRPr="005C429C" w:rsidRDefault="00FD60FD" w:rsidP="00B63A86">
            <w:pPr>
              <w:jc w:val="both"/>
              <w:rPr>
                <w:rFonts w:ascii="Times New Roman" w:hAnsi="Times New Roman" w:cs="Times New Roman"/>
              </w:rPr>
            </w:pPr>
          </w:p>
        </w:tc>
        <w:tc>
          <w:tcPr>
            <w:tcW w:w="421" w:type="pct"/>
            <w:vMerge/>
            <w:noWrap/>
            <w:hideMark/>
          </w:tcPr>
          <w:p w14:paraId="198B5DE1" w14:textId="67C96101" w:rsidR="00FD60FD" w:rsidRPr="005C429C" w:rsidRDefault="00FD60FD" w:rsidP="00B63A86">
            <w:pPr>
              <w:jc w:val="both"/>
              <w:rPr>
                <w:rFonts w:ascii="Times New Roman" w:hAnsi="Times New Roman" w:cs="Times New Roman"/>
              </w:rPr>
            </w:pPr>
          </w:p>
        </w:tc>
        <w:tc>
          <w:tcPr>
            <w:tcW w:w="1248" w:type="pct"/>
            <w:noWrap/>
            <w:hideMark/>
          </w:tcPr>
          <w:p w14:paraId="129D33D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10 mg/kg biweekly</w:t>
            </w:r>
          </w:p>
        </w:tc>
        <w:tc>
          <w:tcPr>
            <w:tcW w:w="516" w:type="pct"/>
            <w:noWrap/>
            <w:hideMark/>
          </w:tcPr>
          <w:p w14:paraId="33DA944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152</w:t>
            </w:r>
          </w:p>
        </w:tc>
        <w:tc>
          <w:tcPr>
            <w:tcW w:w="950" w:type="pct"/>
            <w:noWrap/>
            <w:hideMark/>
          </w:tcPr>
          <w:p w14:paraId="6378159A"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59</w:t>
            </w:r>
          </w:p>
        </w:tc>
        <w:tc>
          <w:tcPr>
            <w:tcW w:w="375" w:type="pct"/>
            <w:noWrap/>
            <w:hideMark/>
          </w:tcPr>
          <w:p w14:paraId="10E1A7AA"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41</w:t>
            </w:r>
          </w:p>
        </w:tc>
      </w:tr>
      <w:tr w:rsidR="00241C9A" w:rsidRPr="005C429C" w14:paraId="309F1478" w14:textId="77777777" w:rsidTr="008B293B">
        <w:trPr>
          <w:trHeight w:val="284"/>
        </w:trPr>
        <w:tc>
          <w:tcPr>
            <w:tcW w:w="542" w:type="pct"/>
            <w:vMerge w:val="restart"/>
            <w:noWrap/>
            <w:hideMark/>
          </w:tcPr>
          <w:p w14:paraId="15A06165" w14:textId="51DFB82A" w:rsidR="00FD60FD" w:rsidRPr="005C429C" w:rsidRDefault="00FD60FD" w:rsidP="00241C9A">
            <w:pPr>
              <w:jc w:val="both"/>
              <w:rPr>
                <w:rFonts w:ascii="Times New Roman" w:hAnsi="Times New Roman" w:cs="Times New Roman"/>
              </w:rPr>
            </w:pPr>
            <w:r w:rsidRPr="005C429C">
              <w:rPr>
                <w:rFonts w:ascii="Times New Roman" w:hAnsi="Times New Roman" w:cs="Times New Roman"/>
              </w:rPr>
              <w:t>Clarity AD </w:t>
            </w:r>
          </w:p>
        </w:tc>
        <w:tc>
          <w:tcPr>
            <w:tcW w:w="551" w:type="pct"/>
            <w:vMerge w:val="restart"/>
            <w:noWrap/>
            <w:hideMark/>
          </w:tcPr>
          <w:p w14:paraId="44C510D8" w14:textId="0EA91468" w:rsidR="00FD60FD" w:rsidRPr="005C429C" w:rsidRDefault="00FD60FD" w:rsidP="00241C9A">
            <w:pPr>
              <w:jc w:val="both"/>
              <w:rPr>
                <w:rFonts w:ascii="Times New Roman" w:hAnsi="Times New Roman" w:cs="Times New Roman"/>
              </w:rPr>
            </w:pPr>
            <w:r w:rsidRPr="005C429C">
              <w:rPr>
                <w:rFonts w:ascii="Times New Roman" w:hAnsi="Times New Roman" w:cs="Times New Roman"/>
              </w:rPr>
              <w:t>NCT03887455 </w:t>
            </w:r>
          </w:p>
        </w:tc>
        <w:tc>
          <w:tcPr>
            <w:tcW w:w="396" w:type="pct"/>
            <w:vMerge w:val="restart"/>
            <w:noWrap/>
            <w:hideMark/>
          </w:tcPr>
          <w:p w14:paraId="57240E4D" w14:textId="6902D6CB" w:rsidR="00FD60FD" w:rsidRPr="005C429C" w:rsidRDefault="00FD60FD" w:rsidP="00241C9A">
            <w:pPr>
              <w:jc w:val="both"/>
              <w:rPr>
                <w:rFonts w:ascii="Times New Roman" w:hAnsi="Times New Roman" w:cs="Times New Roman"/>
              </w:rPr>
            </w:pPr>
            <w:r w:rsidRPr="005C429C">
              <w:rPr>
                <w:rFonts w:ascii="Times New Roman" w:hAnsi="Times New Roman" w:cs="Times New Roman"/>
              </w:rPr>
              <w:t>Lecanemab</w:t>
            </w:r>
          </w:p>
        </w:tc>
        <w:tc>
          <w:tcPr>
            <w:tcW w:w="421" w:type="pct"/>
            <w:vMerge w:val="restart"/>
            <w:noWrap/>
            <w:hideMark/>
          </w:tcPr>
          <w:p w14:paraId="59D7C9B4"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18 months</w:t>
            </w:r>
          </w:p>
          <w:p w14:paraId="1D458607" w14:textId="4661E724"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0F337D2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45552D5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875</w:t>
            </w:r>
          </w:p>
        </w:tc>
        <w:tc>
          <w:tcPr>
            <w:tcW w:w="950" w:type="pct"/>
            <w:noWrap/>
            <w:hideMark/>
          </w:tcPr>
          <w:p w14:paraId="6FBA2DB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62.2</w:t>
            </w:r>
          </w:p>
        </w:tc>
        <w:tc>
          <w:tcPr>
            <w:tcW w:w="375" w:type="pct"/>
            <w:noWrap/>
            <w:hideMark/>
          </w:tcPr>
          <w:p w14:paraId="547892A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37.8</w:t>
            </w:r>
          </w:p>
        </w:tc>
      </w:tr>
      <w:tr w:rsidR="00241C9A" w:rsidRPr="005C429C" w14:paraId="1ED95062" w14:textId="77777777" w:rsidTr="008B293B">
        <w:trPr>
          <w:trHeight w:val="284"/>
        </w:trPr>
        <w:tc>
          <w:tcPr>
            <w:tcW w:w="542" w:type="pct"/>
            <w:vMerge/>
            <w:noWrap/>
            <w:hideMark/>
          </w:tcPr>
          <w:p w14:paraId="61E10679" w14:textId="1C0C4B61" w:rsidR="00FD60FD" w:rsidRPr="005C429C" w:rsidRDefault="00FD60FD" w:rsidP="00B63A86">
            <w:pPr>
              <w:jc w:val="both"/>
              <w:rPr>
                <w:rFonts w:ascii="Times New Roman" w:hAnsi="Times New Roman" w:cs="Times New Roman"/>
              </w:rPr>
            </w:pPr>
          </w:p>
        </w:tc>
        <w:tc>
          <w:tcPr>
            <w:tcW w:w="551" w:type="pct"/>
            <w:vMerge/>
            <w:noWrap/>
            <w:hideMark/>
          </w:tcPr>
          <w:p w14:paraId="10C249B8" w14:textId="4658FDB7" w:rsidR="00FD60FD" w:rsidRPr="005C429C" w:rsidRDefault="00FD60FD" w:rsidP="00B63A86">
            <w:pPr>
              <w:jc w:val="both"/>
              <w:rPr>
                <w:rFonts w:ascii="Times New Roman" w:hAnsi="Times New Roman" w:cs="Times New Roman"/>
              </w:rPr>
            </w:pPr>
          </w:p>
        </w:tc>
        <w:tc>
          <w:tcPr>
            <w:tcW w:w="396" w:type="pct"/>
            <w:vMerge/>
            <w:noWrap/>
            <w:hideMark/>
          </w:tcPr>
          <w:p w14:paraId="0892D1B1" w14:textId="4A5C30C1" w:rsidR="00FD60FD" w:rsidRPr="005C429C" w:rsidRDefault="00FD60FD" w:rsidP="00B63A86">
            <w:pPr>
              <w:jc w:val="both"/>
              <w:rPr>
                <w:rFonts w:ascii="Times New Roman" w:hAnsi="Times New Roman" w:cs="Times New Roman"/>
              </w:rPr>
            </w:pPr>
          </w:p>
        </w:tc>
        <w:tc>
          <w:tcPr>
            <w:tcW w:w="421" w:type="pct"/>
            <w:vMerge/>
            <w:noWrap/>
            <w:hideMark/>
          </w:tcPr>
          <w:p w14:paraId="03832F79" w14:textId="0FFC3707" w:rsidR="00FD60FD" w:rsidRPr="005C429C" w:rsidRDefault="00FD60FD" w:rsidP="00B63A86">
            <w:pPr>
              <w:jc w:val="both"/>
              <w:rPr>
                <w:rFonts w:ascii="Times New Roman" w:hAnsi="Times New Roman" w:cs="Times New Roman"/>
              </w:rPr>
            </w:pPr>
          </w:p>
        </w:tc>
        <w:tc>
          <w:tcPr>
            <w:tcW w:w="1248" w:type="pct"/>
            <w:noWrap/>
            <w:hideMark/>
          </w:tcPr>
          <w:p w14:paraId="5AC0E2F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10 mg/kg biweekly</w:t>
            </w:r>
          </w:p>
        </w:tc>
        <w:tc>
          <w:tcPr>
            <w:tcW w:w="516" w:type="pct"/>
            <w:noWrap/>
            <w:hideMark/>
          </w:tcPr>
          <w:p w14:paraId="34CFE57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859</w:t>
            </w:r>
          </w:p>
        </w:tc>
        <w:tc>
          <w:tcPr>
            <w:tcW w:w="950" w:type="pct"/>
            <w:noWrap/>
            <w:hideMark/>
          </w:tcPr>
          <w:p w14:paraId="26A1CD0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61.5</w:t>
            </w:r>
          </w:p>
        </w:tc>
        <w:tc>
          <w:tcPr>
            <w:tcW w:w="375" w:type="pct"/>
            <w:noWrap/>
            <w:hideMark/>
          </w:tcPr>
          <w:p w14:paraId="28429EF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38.5</w:t>
            </w:r>
          </w:p>
        </w:tc>
      </w:tr>
      <w:tr w:rsidR="00241C9A" w:rsidRPr="005C429C" w14:paraId="1780F2AD" w14:textId="77777777" w:rsidTr="008B293B">
        <w:trPr>
          <w:trHeight w:val="284"/>
        </w:trPr>
        <w:tc>
          <w:tcPr>
            <w:tcW w:w="542" w:type="pct"/>
            <w:vMerge w:val="restart"/>
            <w:noWrap/>
            <w:hideMark/>
          </w:tcPr>
          <w:p w14:paraId="5EF065BF"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Trailblazer-ALZ</w:t>
            </w:r>
          </w:p>
          <w:p w14:paraId="11ED9399" w14:textId="477C3A2F"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551" w:type="pct"/>
            <w:vMerge w:val="restart"/>
            <w:noWrap/>
            <w:hideMark/>
          </w:tcPr>
          <w:p w14:paraId="1DECE41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NCT03367403</w:t>
            </w:r>
          </w:p>
          <w:p w14:paraId="62441FCF" w14:textId="23F72C43"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672FE9A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Donanemab</w:t>
            </w:r>
          </w:p>
          <w:p w14:paraId="6A85301F" w14:textId="34230528"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421" w:type="pct"/>
            <w:vMerge w:val="restart"/>
            <w:noWrap/>
            <w:hideMark/>
          </w:tcPr>
          <w:p w14:paraId="19115AA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72 weeks</w:t>
            </w:r>
          </w:p>
          <w:p w14:paraId="129412FF" w14:textId="49CF498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55A96C2B"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5FA79BEA"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126</w:t>
            </w:r>
          </w:p>
        </w:tc>
        <w:tc>
          <w:tcPr>
            <w:tcW w:w="1326" w:type="pct"/>
            <w:gridSpan w:val="2"/>
            <w:vMerge w:val="restart"/>
            <w:hideMark/>
          </w:tcPr>
          <w:p w14:paraId="3C15483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prodromal AD or mild AD with dementia</w:t>
            </w:r>
          </w:p>
        </w:tc>
      </w:tr>
      <w:tr w:rsidR="00241C9A" w:rsidRPr="005C429C" w14:paraId="3A619E48" w14:textId="77777777" w:rsidTr="008B293B">
        <w:trPr>
          <w:trHeight w:val="284"/>
        </w:trPr>
        <w:tc>
          <w:tcPr>
            <w:tcW w:w="542" w:type="pct"/>
            <w:vMerge/>
            <w:noWrap/>
            <w:hideMark/>
          </w:tcPr>
          <w:p w14:paraId="48EA9843" w14:textId="5235399F" w:rsidR="00FD60FD" w:rsidRPr="005C429C" w:rsidRDefault="00FD60FD" w:rsidP="00B63A86">
            <w:pPr>
              <w:jc w:val="both"/>
              <w:rPr>
                <w:rFonts w:ascii="Times New Roman" w:hAnsi="Times New Roman" w:cs="Times New Roman"/>
              </w:rPr>
            </w:pPr>
          </w:p>
        </w:tc>
        <w:tc>
          <w:tcPr>
            <w:tcW w:w="551" w:type="pct"/>
            <w:vMerge/>
            <w:noWrap/>
            <w:hideMark/>
          </w:tcPr>
          <w:p w14:paraId="6AE00BC4" w14:textId="01BF2B4D" w:rsidR="00FD60FD" w:rsidRPr="005C429C" w:rsidRDefault="00FD60FD" w:rsidP="00B63A86">
            <w:pPr>
              <w:jc w:val="both"/>
              <w:rPr>
                <w:rFonts w:ascii="Times New Roman" w:hAnsi="Times New Roman" w:cs="Times New Roman"/>
              </w:rPr>
            </w:pPr>
          </w:p>
        </w:tc>
        <w:tc>
          <w:tcPr>
            <w:tcW w:w="396" w:type="pct"/>
            <w:vMerge/>
            <w:noWrap/>
            <w:hideMark/>
          </w:tcPr>
          <w:p w14:paraId="30305EB5" w14:textId="253B18B7" w:rsidR="00FD60FD" w:rsidRPr="005C429C" w:rsidRDefault="00FD60FD" w:rsidP="00B63A86">
            <w:pPr>
              <w:jc w:val="both"/>
              <w:rPr>
                <w:rFonts w:ascii="Times New Roman" w:hAnsi="Times New Roman" w:cs="Times New Roman"/>
              </w:rPr>
            </w:pPr>
          </w:p>
        </w:tc>
        <w:tc>
          <w:tcPr>
            <w:tcW w:w="421" w:type="pct"/>
            <w:vMerge/>
            <w:noWrap/>
            <w:hideMark/>
          </w:tcPr>
          <w:p w14:paraId="4AAE0D03" w14:textId="539BBF93" w:rsidR="00FD60FD" w:rsidRPr="005C429C" w:rsidRDefault="00FD60FD" w:rsidP="00B63A86">
            <w:pPr>
              <w:jc w:val="both"/>
              <w:rPr>
                <w:rFonts w:ascii="Times New Roman" w:hAnsi="Times New Roman" w:cs="Times New Roman"/>
              </w:rPr>
            </w:pPr>
          </w:p>
        </w:tc>
        <w:tc>
          <w:tcPr>
            <w:tcW w:w="1248" w:type="pct"/>
            <w:noWrap/>
            <w:hideMark/>
          </w:tcPr>
          <w:p w14:paraId="1235FBF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700 mg for the first three doses and 1400 mg thereafter</w:t>
            </w:r>
          </w:p>
        </w:tc>
        <w:tc>
          <w:tcPr>
            <w:tcW w:w="516" w:type="pct"/>
            <w:noWrap/>
            <w:hideMark/>
          </w:tcPr>
          <w:p w14:paraId="3C0FFE5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131</w:t>
            </w:r>
          </w:p>
        </w:tc>
        <w:tc>
          <w:tcPr>
            <w:tcW w:w="1326" w:type="pct"/>
            <w:gridSpan w:val="2"/>
            <w:vMerge/>
            <w:hideMark/>
          </w:tcPr>
          <w:p w14:paraId="4C9CE748" w14:textId="77777777" w:rsidR="00FD60FD" w:rsidRPr="005C429C" w:rsidRDefault="00FD60FD" w:rsidP="00B63A86">
            <w:pPr>
              <w:jc w:val="both"/>
              <w:rPr>
                <w:rFonts w:ascii="Times New Roman" w:hAnsi="Times New Roman" w:cs="Times New Roman"/>
              </w:rPr>
            </w:pPr>
          </w:p>
        </w:tc>
      </w:tr>
      <w:tr w:rsidR="00241C9A" w:rsidRPr="005C429C" w14:paraId="5B04802C" w14:textId="77777777" w:rsidTr="008B293B">
        <w:trPr>
          <w:trHeight w:val="284"/>
        </w:trPr>
        <w:tc>
          <w:tcPr>
            <w:tcW w:w="542" w:type="pct"/>
            <w:vMerge w:val="restart"/>
            <w:noWrap/>
            <w:hideMark/>
          </w:tcPr>
          <w:p w14:paraId="034C7349"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Trailblazer-ALZ2</w:t>
            </w:r>
          </w:p>
          <w:p w14:paraId="4E0203ED" w14:textId="26EF7064"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551" w:type="pct"/>
            <w:vMerge w:val="restart"/>
            <w:noWrap/>
            <w:hideMark/>
          </w:tcPr>
          <w:p w14:paraId="284DD6E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NCT04437511</w:t>
            </w:r>
          </w:p>
          <w:p w14:paraId="3E5D77C9" w14:textId="4D3AD7E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572D5F5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Donanemab</w:t>
            </w:r>
          </w:p>
          <w:p w14:paraId="22C927F2" w14:textId="02AF84DF"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421" w:type="pct"/>
            <w:vMerge w:val="restart"/>
            <w:noWrap/>
            <w:hideMark/>
          </w:tcPr>
          <w:p w14:paraId="087CDD0E"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72 weeks</w:t>
            </w:r>
          </w:p>
          <w:p w14:paraId="1A0E4529" w14:textId="3939108B"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307FEBFE"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368D4EA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876</w:t>
            </w:r>
          </w:p>
        </w:tc>
        <w:tc>
          <w:tcPr>
            <w:tcW w:w="950" w:type="pct"/>
            <w:noWrap/>
            <w:hideMark/>
          </w:tcPr>
          <w:p w14:paraId="660F65A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15.7</w:t>
            </w:r>
          </w:p>
        </w:tc>
        <w:tc>
          <w:tcPr>
            <w:tcW w:w="375" w:type="pct"/>
            <w:noWrap/>
            <w:hideMark/>
          </w:tcPr>
          <w:p w14:paraId="77BAF98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84.3</w:t>
            </w:r>
          </w:p>
        </w:tc>
      </w:tr>
      <w:tr w:rsidR="00241C9A" w:rsidRPr="005C429C" w14:paraId="5961E614" w14:textId="77777777" w:rsidTr="008B293B">
        <w:trPr>
          <w:trHeight w:val="284"/>
        </w:trPr>
        <w:tc>
          <w:tcPr>
            <w:tcW w:w="542" w:type="pct"/>
            <w:vMerge/>
            <w:noWrap/>
            <w:hideMark/>
          </w:tcPr>
          <w:p w14:paraId="56B5EBD4" w14:textId="084CBF1D" w:rsidR="00FD60FD" w:rsidRPr="005C429C" w:rsidRDefault="00FD60FD" w:rsidP="00B63A86">
            <w:pPr>
              <w:jc w:val="both"/>
              <w:rPr>
                <w:rFonts w:ascii="Times New Roman" w:hAnsi="Times New Roman" w:cs="Times New Roman"/>
              </w:rPr>
            </w:pPr>
          </w:p>
        </w:tc>
        <w:tc>
          <w:tcPr>
            <w:tcW w:w="551" w:type="pct"/>
            <w:vMerge/>
            <w:noWrap/>
            <w:hideMark/>
          </w:tcPr>
          <w:p w14:paraId="1C2507AC" w14:textId="78F3493E" w:rsidR="00FD60FD" w:rsidRPr="005C429C" w:rsidRDefault="00FD60FD" w:rsidP="00B63A86">
            <w:pPr>
              <w:jc w:val="both"/>
              <w:rPr>
                <w:rFonts w:ascii="Times New Roman" w:hAnsi="Times New Roman" w:cs="Times New Roman"/>
              </w:rPr>
            </w:pPr>
          </w:p>
        </w:tc>
        <w:tc>
          <w:tcPr>
            <w:tcW w:w="396" w:type="pct"/>
            <w:vMerge/>
            <w:noWrap/>
            <w:hideMark/>
          </w:tcPr>
          <w:p w14:paraId="53A41B4A" w14:textId="313EF442" w:rsidR="00FD60FD" w:rsidRPr="005C429C" w:rsidRDefault="00FD60FD" w:rsidP="00B63A86">
            <w:pPr>
              <w:jc w:val="both"/>
              <w:rPr>
                <w:rFonts w:ascii="Times New Roman" w:hAnsi="Times New Roman" w:cs="Times New Roman"/>
              </w:rPr>
            </w:pPr>
          </w:p>
        </w:tc>
        <w:tc>
          <w:tcPr>
            <w:tcW w:w="421" w:type="pct"/>
            <w:vMerge/>
            <w:noWrap/>
            <w:hideMark/>
          </w:tcPr>
          <w:p w14:paraId="59B7BC80" w14:textId="085037E4" w:rsidR="00FD60FD" w:rsidRPr="005C429C" w:rsidRDefault="00FD60FD" w:rsidP="00B63A86">
            <w:pPr>
              <w:jc w:val="both"/>
              <w:rPr>
                <w:rFonts w:ascii="Times New Roman" w:hAnsi="Times New Roman" w:cs="Times New Roman"/>
              </w:rPr>
            </w:pPr>
          </w:p>
        </w:tc>
        <w:tc>
          <w:tcPr>
            <w:tcW w:w="1248" w:type="pct"/>
            <w:noWrap/>
            <w:hideMark/>
          </w:tcPr>
          <w:p w14:paraId="78C7537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700 mg for the first three doses and 1400 mg thereafter</w:t>
            </w:r>
          </w:p>
        </w:tc>
        <w:tc>
          <w:tcPr>
            <w:tcW w:w="516" w:type="pct"/>
            <w:noWrap/>
            <w:hideMark/>
          </w:tcPr>
          <w:p w14:paraId="11D8E0D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860</w:t>
            </w:r>
          </w:p>
        </w:tc>
        <w:tc>
          <w:tcPr>
            <w:tcW w:w="950" w:type="pct"/>
            <w:noWrap/>
            <w:hideMark/>
          </w:tcPr>
          <w:p w14:paraId="483609A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17</w:t>
            </w:r>
          </w:p>
        </w:tc>
        <w:tc>
          <w:tcPr>
            <w:tcW w:w="375" w:type="pct"/>
            <w:noWrap/>
            <w:hideMark/>
          </w:tcPr>
          <w:p w14:paraId="5C1CD69B"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83</w:t>
            </w:r>
          </w:p>
        </w:tc>
      </w:tr>
      <w:tr w:rsidR="00241C9A" w:rsidRPr="005C429C" w14:paraId="4ACDCF35" w14:textId="77777777" w:rsidTr="008B293B">
        <w:trPr>
          <w:trHeight w:val="284"/>
        </w:trPr>
        <w:tc>
          <w:tcPr>
            <w:tcW w:w="542" w:type="pct"/>
            <w:vMerge w:val="restart"/>
            <w:noWrap/>
            <w:hideMark/>
          </w:tcPr>
          <w:p w14:paraId="150E64B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SCarlet RoAD</w:t>
            </w:r>
          </w:p>
          <w:p w14:paraId="643A2DA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1BC46B14" w14:textId="26F708FC"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551" w:type="pct"/>
            <w:vMerge w:val="restart"/>
            <w:noWrap/>
            <w:hideMark/>
          </w:tcPr>
          <w:p w14:paraId="0DB2A28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NCT01224106</w:t>
            </w:r>
          </w:p>
          <w:p w14:paraId="19113B0F"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594CA1A0" w14:textId="45135C28"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209472F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Gantenerumab</w:t>
            </w:r>
          </w:p>
          <w:p w14:paraId="7A0A202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6BE15C47" w14:textId="717F5BA4"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421" w:type="pct"/>
            <w:vMerge w:val="restart"/>
            <w:noWrap/>
            <w:hideMark/>
          </w:tcPr>
          <w:p w14:paraId="5119F4E4"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 years</w:t>
            </w:r>
          </w:p>
          <w:p w14:paraId="6BD4A1E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3F9DF1E0" w14:textId="5754C56E"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2954EF6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3A6FF6EA"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266</w:t>
            </w:r>
          </w:p>
        </w:tc>
        <w:tc>
          <w:tcPr>
            <w:tcW w:w="1326" w:type="pct"/>
            <w:gridSpan w:val="2"/>
            <w:vMerge w:val="restart"/>
            <w:noWrap/>
            <w:hideMark/>
          </w:tcPr>
          <w:p w14:paraId="3647EF3C" w14:textId="61060F31" w:rsidR="00FD60FD" w:rsidRPr="005C429C" w:rsidRDefault="00FD60FD" w:rsidP="00B63A86">
            <w:pPr>
              <w:jc w:val="both"/>
              <w:rPr>
                <w:rFonts w:ascii="Times New Roman" w:hAnsi="Times New Roman" w:cs="Times New Roman"/>
              </w:rPr>
            </w:pPr>
            <w:r w:rsidRPr="005C429C">
              <w:rPr>
                <w:rFonts w:ascii="Times New Roman" w:hAnsi="Times New Roman" w:cs="Times New Roman"/>
              </w:rPr>
              <w:t>prodromal AD </w:t>
            </w:r>
          </w:p>
          <w:p w14:paraId="00B18E9E"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2AE914C0" w14:textId="36B8F141"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r>
      <w:tr w:rsidR="00241C9A" w:rsidRPr="005C429C" w14:paraId="604245FC" w14:textId="77777777" w:rsidTr="008B293B">
        <w:trPr>
          <w:trHeight w:val="284"/>
        </w:trPr>
        <w:tc>
          <w:tcPr>
            <w:tcW w:w="542" w:type="pct"/>
            <w:vMerge/>
            <w:noWrap/>
            <w:hideMark/>
          </w:tcPr>
          <w:p w14:paraId="54930CB4" w14:textId="148A348B" w:rsidR="00FD60FD" w:rsidRPr="005C429C" w:rsidRDefault="00FD60FD" w:rsidP="00B63A86">
            <w:pPr>
              <w:jc w:val="both"/>
              <w:rPr>
                <w:rFonts w:ascii="Times New Roman" w:hAnsi="Times New Roman" w:cs="Times New Roman"/>
              </w:rPr>
            </w:pPr>
          </w:p>
        </w:tc>
        <w:tc>
          <w:tcPr>
            <w:tcW w:w="551" w:type="pct"/>
            <w:vMerge/>
            <w:noWrap/>
            <w:hideMark/>
          </w:tcPr>
          <w:p w14:paraId="285B372C" w14:textId="1941D5C5" w:rsidR="00FD60FD" w:rsidRPr="005C429C" w:rsidRDefault="00FD60FD" w:rsidP="00B63A86">
            <w:pPr>
              <w:jc w:val="both"/>
              <w:rPr>
                <w:rFonts w:ascii="Times New Roman" w:hAnsi="Times New Roman" w:cs="Times New Roman"/>
              </w:rPr>
            </w:pPr>
          </w:p>
        </w:tc>
        <w:tc>
          <w:tcPr>
            <w:tcW w:w="396" w:type="pct"/>
            <w:vMerge/>
            <w:noWrap/>
            <w:hideMark/>
          </w:tcPr>
          <w:p w14:paraId="4E606E65" w14:textId="2CF3D08D" w:rsidR="00FD60FD" w:rsidRPr="005C429C" w:rsidRDefault="00FD60FD" w:rsidP="00B63A86">
            <w:pPr>
              <w:jc w:val="both"/>
              <w:rPr>
                <w:rFonts w:ascii="Times New Roman" w:hAnsi="Times New Roman" w:cs="Times New Roman"/>
              </w:rPr>
            </w:pPr>
          </w:p>
        </w:tc>
        <w:tc>
          <w:tcPr>
            <w:tcW w:w="421" w:type="pct"/>
            <w:vMerge/>
            <w:noWrap/>
            <w:hideMark/>
          </w:tcPr>
          <w:p w14:paraId="6478099B" w14:textId="246EFE2E" w:rsidR="00FD60FD" w:rsidRPr="005C429C" w:rsidRDefault="00FD60FD" w:rsidP="00B63A86">
            <w:pPr>
              <w:jc w:val="both"/>
              <w:rPr>
                <w:rFonts w:ascii="Times New Roman" w:hAnsi="Times New Roman" w:cs="Times New Roman"/>
              </w:rPr>
            </w:pPr>
          </w:p>
        </w:tc>
        <w:tc>
          <w:tcPr>
            <w:tcW w:w="1248" w:type="pct"/>
            <w:noWrap/>
            <w:hideMark/>
          </w:tcPr>
          <w:p w14:paraId="6C15753E"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105 mg every 4 weeks</w:t>
            </w:r>
          </w:p>
        </w:tc>
        <w:tc>
          <w:tcPr>
            <w:tcW w:w="516" w:type="pct"/>
            <w:noWrap/>
            <w:hideMark/>
          </w:tcPr>
          <w:p w14:paraId="0E3FC7F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271</w:t>
            </w:r>
          </w:p>
        </w:tc>
        <w:tc>
          <w:tcPr>
            <w:tcW w:w="1326" w:type="pct"/>
            <w:gridSpan w:val="2"/>
            <w:vMerge/>
            <w:noWrap/>
            <w:hideMark/>
          </w:tcPr>
          <w:p w14:paraId="375C0540" w14:textId="643BE230" w:rsidR="00FD60FD" w:rsidRPr="005C429C" w:rsidRDefault="00FD60FD" w:rsidP="00B63A86">
            <w:pPr>
              <w:jc w:val="both"/>
              <w:rPr>
                <w:rFonts w:ascii="Times New Roman" w:hAnsi="Times New Roman" w:cs="Times New Roman"/>
              </w:rPr>
            </w:pPr>
          </w:p>
        </w:tc>
      </w:tr>
      <w:tr w:rsidR="00241C9A" w:rsidRPr="005C429C" w14:paraId="5598CAA0" w14:textId="77777777" w:rsidTr="008B293B">
        <w:trPr>
          <w:trHeight w:val="284"/>
        </w:trPr>
        <w:tc>
          <w:tcPr>
            <w:tcW w:w="542" w:type="pct"/>
            <w:vMerge/>
            <w:noWrap/>
            <w:hideMark/>
          </w:tcPr>
          <w:p w14:paraId="6983B74D" w14:textId="7B2F1F06" w:rsidR="00FD60FD" w:rsidRPr="005C429C" w:rsidRDefault="00FD60FD" w:rsidP="00B63A86">
            <w:pPr>
              <w:jc w:val="both"/>
              <w:rPr>
                <w:rFonts w:ascii="Times New Roman" w:hAnsi="Times New Roman" w:cs="Times New Roman"/>
              </w:rPr>
            </w:pPr>
          </w:p>
        </w:tc>
        <w:tc>
          <w:tcPr>
            <w:tcW w:w="551" w:type="pct"/>
            <w:vMerge/>
            <w:noWrap/>
            <w:hideMark/>
          </w:tcPr>
          <w:p w14:paraId="7D1BEE3E" w14:textId="2A8386E7" w:rsidR="00FD60FD" w:rsidRPr="005C429C" w:rsidRDefault="00FD60FD" w:rsidP="00B63A86">
            <w:pPr>
              <w:jc w:val="both"/>
              <w:rPr>
                <w:rFonts w:ascii="Times New Roman" w:hAnsi="Times New Roman" w:cs="Times New Roman"/>
              </w:rPr>
            </w:pPr>
          </w:p>
        </w:tc>
        <w:tc>
          <w:tcPr>
            <w:tcW w:w="396" w:type="pct"/>
            <w:vMerge/>
            <w:noWrap/>
            <w:hideMark/>
          </w:tcPr>
          <w:p w14:paraId="338FC898" w14:textId="244F3F82" w:rsidR="00FD60FD" w:rsidRPr="005C429C" w:rsidRDefault="00FD60FD" w:rsidP="00B63A86">
            <w:pPr>
              <w:jc w:val="both"/>
              <w:rPr>
                <w:rFonts w:ascii="Times New Roman" w:hAnsi="Times New Roman" w:cs="Times New Roman"/>
              </w:rPr>
            </w:pPr>
          </w:p>
        </w:tc>
        <w:tc>
          <w:tcPr>
            <w:tcW w:w="421" w:type="pct"/>
            <w:vMerge/>
            <w:noWrap/>
            <w:hideMark/>
          </w:tcPr>
          <w:p w14:paraId="2E0F43AA" w14:textId="329EFD80" w:rsidR="00FD60FD" w:rsidRPr="005C429C" w:rsidRDefault="00FD60FD" w:rsidP="00B63A86">
            <w:pPr>
              <w:jc w:val="both"/>
              <w:rPr>
                <w:rFonts w:ascii="Times New Roman" w:hAnsi="Times New Roman" w:cs="Times New Roman"/>
              </w:rPr>
            </w:pPr>
          </w:p>
        </w:tc>
        <w:tc>
          <w:tcPr>
            <w:tcW w:w="1248" w:type="pct"/>
            <w:noWrap/>
            <w:hideMark/>
          </w:tcPr>
          <w:p w14:paraId="1AA39F6F"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225 mg every 4 weeks</w:t>
            </w:r>
          </w:p>
        </w:tc>
        <w:tc>
          <w:tcPr>
            <w:tcW w:w="516" w:type="pct"/>
            <w:noWrap/>
            <w:hideMark/>
          </w:tcPr>
          <w:p w14:paraId="1228348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260</w:t>
            </w:r>
          </w:p>
        </w:tc>
        <w:tc>
          <w:tcPr>
            <w:tcW w:w="1326" w:type="pct"/>
            <w:gridSpan w:val="2"/>
            <w:vMerge/>
            <w:noWrap/>
            <w:hideMark/>
          </w:tcPr>
          <w:p w14:paraId="15576A61" w14:textId="5C0B5BE8" w:rsidR="00FD60FD" w:rsidRPr="005C429C" w:rsidRDefault="00FD60FD" w:rsidP="00B63A86">
            <w:pPr>
              <w:jc w:val="both"/>
              <w:rPr>
                <w:rFonts w:ascii="Times New Roman" w:hAnsi="Times New Roman" w:cs="Times New Roman"/>
              </w:rPr>
            </w:pPr>
          </w:p>
        </w:tc>
      </w:tr>
      <w:tr w:rsidR="00241C9A" w:rsidRPr="005C429C" w14:paraId="6DDD6BD2" w14:textId="77777777" w:rsidTr="008B293B">
        <w:trPr>
          <w:trHeight w:val="284"/>
        </w:trPr>
        <w:tc>
          <w:tcPr>
            <w:tcW w:w="542" w:type="pct"/>
            <w:vMerge w:val="restart"/>
            <w:noWrap/>
            <w:hideMark/>
          </w:tcPr>
          <w:p w14:paraId="0D920CC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Graduate I</w:t>
            </w:r>
          </w:p>
          <w:p w14:paraId="61A24F96" w14:textId="37011B2A"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551" w:type="pct"/>
            <w:vMerge w:val="restart"/>
            <w:noWrap/>
            <w:hideMark/>
          </w:tcPr>
          <w:p w14:paraId="55D7C26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NCT03444870</w:t>
            </w:r>
          </w:p>
          <w:p w14:paraId="2AD42A2D" w14:textId="5149BE89"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15FD36C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Gantenerumab</w:t>
            </w:r>
          </w:p>
          <w:p w14:paraId="2862BD6A" w14:textId="2E2A2FE1"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421" w:type="pct"/>
            <w:vMerge w:val="restart"/>
            <w:noWrap/>
            <w:hideMark/>
          </w:tcPr>
          <w:p w14:paraId="20EDE469"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116 weeks</w:t>
            </w:r>
          </w:p>
          <w:p w14:paraId="6F0966C5" w14:textId="616042A5"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56B8768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7DA8B0BF"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485</w:t>
            </w:r>
          </w:p>
        </w:tc>
        <w:tc>
          <w:tcPr>
            <w:tcW w:w="950" w:type="pct"/>
            <w:noWrap/>
            <w:hideMark/>
          </w:tcPr>
          <w:p w14:paraId="4B91921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54.2</w:t>
            </w:r>
          </w:p>
        </w:tc>
        <w:tc>
          <w:tcPr>
            <w:tcW w:w="375" w:type="pct"/>
            <w:noWrap/>
            <w:hideMark/>
          </w:tcPr>
          <w:p w14:paraId="2A9D414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45.8</w:t>
            </w:r>
          </w:p>
        </w:tc>
      </w:tr>
      <w:tr w:rsidR="00241C9A" w:rsidRPr="005C429C" w14:paraId="6B7198EF" w14:textId="77777777" w:rsidTr="008B293B">
        <w:trPr>
          <w:trHeight w:val="284"/>
        </w:trPr>
        <w:tc>
          <w:tcPr>
            <w:tcW w:w="542" w:type="pct"/>
            <w:vMerge/>
            <w:noWrap/>
            <w:hideMark/>
          </w:tcPr>
          <w:p w14:paraId="627E583D" w14:textId="07DB928E" w:rsidR="00FD60FD" w:rsidRPr="005C429C" w:rsidRDefault="00FD60FD" w:rsidP="00B63A86">
            <w:pPr>
              <w:jc w:val="both"/>
              <w:rPr>
                <w:rFonts w:ascii="Times New Roman" w:hAnsi="Times New Roman" w:cs="Times New Roman"/>
              </w:rPr>
            </w:pPr>
          </w:p>
        </w:tc>
        <w:tc>
          <w:tcPr>
            <w:tcW w:w="551" w:type="pct"/>
            <w:vMerge/>
            <w:noWrap/>
            <w:hideMark/>
          </w:tcPr>
          <w:p w14:paraId="240C0D3B" w14:textId="570E2CC1" w:rsidR="00FD60FD" w:rsidRPr="005C429C" w:rsidRDefault="00FD60FD" w:rsidP="00B63A86">
            <w:pPr>
              <w:jc w:val="both"/>
              <w:rPr>
                <w:rFonts w:ascii="Times New Roman" w:hAnsi="Times New Roman" w:cs="Times New Roman"/>
              </w:rPr>
            </w:pPr>
          </w:p>
        </w:tc>
        <w:tc>
          <w:tcPr>
            <w:tcW w:w="396" w:type="pct"/>
            <w:vMerge/>
            <w:noWrap/>
            <w:hideMark/>
          </w:tcPr>
          <w:p w14:paraId="7D644794" w14:textId="31E76AE9" w:rsidR="00FD60FD" w:rsidRPr="005C429C" w:rsidRDefault="00FD60FD" w:rsidP="00B63A86">
            <w:pPr>
              <w:jc w:val="both"/>
              <w:rPr>
                <w:rFonts w:ascii="Times New Roman" w:hAnsi="Times New Roman" w:cs="Times New Roman"/>
              </w:rPr>
            </w:pPr>
          </w:p>
        </w:tc>
        <w:tc>
          <w:tcPr>
            <w:tcW w:w="421" w:type="pct"/>
            <w:vMerge/>
            <w:noWrap/>
            <w:hideMark/>
          </w:tcPr>
          <w:p w14:paraId="0B1AECFC" w14:textId="62A9A362" w:rsidR="00FD60FD" w:rsidRPr="005C429C" w:rsidRDefault="00FD60FD" w:rsidP="00B63A86">
            <w:pPr>
              <w:jc w:val="both"/>
              <w:rPr>
                <w:rFonts w:ascii="Times New Roman" w:hAnsi="Times New Roman" w:cs="Times New Roman"/>
              </w:rPr>
            </w:pPr>
          </w:p>
        </w:tc>
        <w:tc>
          <w:tcPr>
            <w:tcW w:w="1248" w:type="pct"/>
            <w:noWrap/>
            <w:hideMark/>
          </w:tcPr>
          <w:p w14:paraId="23022889"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510mg biweekly</w:t>
            </w:r>
          </w:p>
        </w:tc>
        <w:tc>
          <w:tcPr>
            <w:tcW w:w="516" w:type="pct"/>
            <w:noWrap/>
            <w:hideMark/>
          </w:tcPr>
          <w:p w14:paraId="24D9D0F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499</w:t>
            </w:r>
          </w:p>
        </w:tc>
        <w:tc>
          <w:tcPr>
            <w:tcW w:w="950" w:type="pct"/>
            <w:noWrap/>
            <w:hideMark/>
          </w:tcPr>
          <w:p w14:paraId="533221E4"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55.1</w:t>
            </w:r>
          </w:p>
        </w:tc>
        <w:tc>
          <w:tcPr>
            <w:tcW w:w="375" w:type="pct"/>
            <w:noWrap/>
            <w:hideMark/>
          </w:tcPr>
          <w:p w14:paraId="454B0E54"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44.9</w:t>
            </w:r>
          </w:p>
        </w:tc>
      </w:tr>
      <w:tr w:rsidR="00241C9A" w:rsidRPr="005C429C" w14:paraId="7E6FC08C" w14:textId="77777777" w:rsidTr="008B293B">
        <w:trPr>
          <w:trHeight w:val="284"/>
        </w:trPr>
        <w:tc>
          <w:tcPr>
            <w:tcW w:w="542" w:type="pct"/>
            <w:vMerge w:val="restart"/>
            <w:noWrap/>
            <w:hideMark/>
          </w:tcPr>
          <w:p w14:paraId="504AE3D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Graduate II</w:t>
            </w:r>
          </w:p>
          <w:p w14:paraId="000502A9" w14:textId="6413B6A6"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551" w:type="pct"/>
            <w:vMerge w:val="restart"/>
            <w:noWrap/>
            <w:hideMark/>
          </w:tcPr>
          <w:p w14:paraId="75CBEBA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NCT03443973</w:t>
            </w:r>
          </w:p>
          <w:p w14:paraId="5B43CE5B" w14:textId="2B1D4768"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755C67A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Gantenerumab</w:t>
            </w:r>
          </w:p>
          <w:p w14:paraId="53506568" w14:textId="75013A45"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421" w:type="pct"/>
            <w:vMerge w:val="restart"/>
            <w:noWrap/>
            <w:hideMark/>
          </w:tcPr>
          <w:p w14:paraId="2375EDBE"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116 weeks</w:t>
            </w:r>
          </w:p>
          <w:p w14:paraId="4E4F2125" w14:textId="7E2E5EAC"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4CB7648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329871F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477</w:t>
            </w:r>
          </w:p>
        </w:tc>
        <w:tc>
          <w:tcPr>
            <w:tcW w:w="950" w:type="pct"/>
            <w:noWrap/>
            <w:hideMark/>
          </w:tcPr>
          <w:p w14:paraId="1D584821"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55.8</w:t>
            </w:r>
          </w:p>
        </w:tc>
        <w:tc>
          <w:tcPr>
            <w:tcW w:w="375" w:type="pct"/>
            <w:noWrap/>
            <w:hideMark/>
          </w:tcPr>
          <w:p w14:paraId="5ED3CD1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44.2</w:t>
            </w:r>
          </w:p>
        </w:tc>
      </w:tr>
      <w:tr w:rsidR="00241C9A" w:rsidRPr="005C429C" w14:paraId="1931C89E" w14:textId="77777777" w:rsidTr="008B293B">
        <w:trPr>
          <w:trHeight w:val="284"/>
        </w:trPr>
        <w:tc>
          <w:tcPr>
            <w:tcW w:w="542" w:type="pct"/>
            <w:vMerge/>
            <w:noWrap/>
            <w:hideMark/>
          </w:tcPr>
          <w:p w14:paraId="203AA8DB" w14:textId="0FCD4132" w:rsidR="00FD60FD" w:rsidRPr="005C429C" w:rsidRDefault="00FD60FD" w:rsidP="00B63A86">
            <w:pPr>
              <w:jc w:val="both"/>
              <w:rPr>
                <w:rFonts w:ascii="Times New Roman" w:hAnsi="Times New Roman" w:cs="Times New Roman"/>
              </w:rPr>
            </w:pPr>
          </w:p>
        </w:tc>
        <w:tc>
          <w:tcPr>
            <w:tcW w:w="551" w:type="pct"/>
            <w:vMerge/>
            <w:noWrap/>
            <w:hideMark/>
          </w:tcPr>
          <w:p w14:paraId="056CA5EA" w14:textId="7FC2F8B3" w:rsidR="00FD60FD" w:rsidRPr="005C429C" w:rsidRDefault="00FD60FD" w:rsidP="00B63A86">
            <w:pPr>
              <w:jc w:val="both"/>
              <w:rPr>
                <w:rFonts w:ascii="Times New Roman" w:hAnsi="Times New Roman" w:cs="Times New Roman"/>
              </w:rPr>
            </w:pPr>
          </w:p>
        </w:tc>
        <w:tc>
          <w:tcPr>
            <w:tcW w:w="396" w:type="pct"/>
            <w:vMerge/>
            <w:noWrap/>
            <w:hideMark/>
          </w:tcPr>
          <w:p w14:paraId="3425B902" w14:textId="6D62762C" w:rsidR="00FD60FD" w:rsidRPr="005C429C" w:rsidRDefault="00FD60FD" w:rsidP="00B63A86">
            <w:pPr>
              <w:jc w:val="both"/>
              <w:rPr>
                <w:rFonts w:ascii="Times New Roman" w:hAnsi="Times New Roman" w:cs="Times New Roman"/>
              </w:rPr>
            </w:pPr>
          </w:p>
        </w:tc>
        <w:tc>
          <w:tcPr>
            <w:tcW w:w="421" w:type="pct"/>
            <w:vMerge/>
            <w:noWrap/>
            <w:hideMark/>
          </w:tcPr>
          <w:p w14:paraId="263741A4" w14:textId="71CB6887" w:rsidR="00FD60FD" w:rsidRPr="005C429C" w:rsidRDefault="00FD60FD" w:rsidP="00B63A86">
            <w:pPr>
              <w:jc w:val="both"/>
              <w:rPr>
                <w:rFonts w:ascii="Times New Roman" w:hAnsi="Times New Roman" w:cs="Times New Roman"/>
              </w:rPr>
            </w:pPr>
          </w:p>
        </w:tc>
        <w:tc>
          <w:tcPr>
            <w:tcW w:w="1248" w:type="pct"/>
            <w:noWrap/>
            <w:hideMark/>
          </w:tcPr>
          <w:p w14:paraId="30DE081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510mg biweekly</w:t>
            </w:r>
          </w:p>
        </w:tc>
        <w:tc>
          <w:tcPr>
            <w:tcW w:w="516" w:type="pct"/>
            <w:noWrap/>
            <w:hideMark/>
          </w:tcPr>
          <w:p w14:paraId="50E9608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498</w:t>
            </w:r>
          </w:p>
        </w:tc>
        <w:tc>
          <w:tcPr>
            <w:tcW w:w="950" w:type="pct"/>
            <w:noWrap/>
            <w:hideMark/>
          </w:tcPr>
          <w:p w14:paraId="2429E74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54</w:t>
            </w:r>
          </w:p>
        </w:tc>
        <w:tc>
          <w:tcPr>
            <w:tcW w:w="375" w:type="pct"/>
            <w:noWrap/>
            <w:hideMark/>
          </w:tcPr>
          <w:p w14:paraId="769A516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46</w:t>
            </w:r>
          </w:p>
        </w:tc>
      </w:tr>
      <w:tr w:rsidR="00241C9A" w:rsidRPr="005C429C" w14:paraId="63F00066" w14:textId="77777777" w:rsidTr="008B293B">
        <w:trPr>
          <w:trHeight w:val="284"/>
        </w:trPr>
        <w:tc>
          <w:tcPr>
            <w:tcW w:w="542" w:type="pct"/>
            <w:vMerge w:val="restart"/>
            <w:noWrap/>
            <w:hideMark/>
          </w:tcPr>
          <w:p w14:paraId="25EA13F7" w14:textId="2CF72095" w:rsidR="00FD60FD" w:rsidRPr="005C429C" w:rsidRDefault="00FD60FD" w:rsidP="00241C9A">
            <w:pPr>
              <w:jc w:val="both"/>
              <w:rPr>
                <w:rFonts w:ascii="Times New Roman" w:hAnsi="Times New Roman" w:cs="Times New Roman"/>
              </w:rPr>
            </w:pPr>
            <w:r w:rsidRPr="005C429C">
              <w:rPr>
                <w:rFonts w:ascii="Times New Roman" w:hAnsi="Times New Roman" w:cs="Times New Roman"/>
              </w:rPr>
              <w:t>Bapineuzumab 301 </w:t>
            </w:r>
          </w:p>
        </w:tc>
        <w:tc>
          <w:tcPr>
            <w:tcW w:w="551" w:type="pct"/>
            <w:vMerge w:val="restart"/>
            <w:noWrap/>
            <w:hideMark/>
          </w:tcPr>
          <w:p w14:paraId="4A463E1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NCT00575055</w:t>
            </w:r>
          </w:p>
          <w:p w14:paraId="200CB7E9" w14:textId="03C89714"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5799B6E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Bapineuzumab</w:t>
            </w:r>
          </w:p>
          <w:p w14:paraId="22F81C92" w14:textId="3F0A65A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421" w:type="pct"/>
            <w:vMerge w:val="restart"/>
            <w:noWrap/>
            <w:hideMark/>
          </w:tcPr>
          <w:p w14:paraId="331A453B"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78 weeks</w:t>
            </w:r>
          </w:p>
          <w:p w14:paraId="236CC5FD" w14:textId="11DEB77C"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1EF4303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18E95A89"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432</w:t>
            </w:r>
          </w:p>
        </w:tc>
        <w:tc>
          <w:tcPr>
            <w:tcW w:w="1326" w:type="pct"/>
            <w:gridSpan w:val="2"/>
            <w:vMerge w:val="restart"/>
            <w:noWrap/>
            <w:hideMark/>
          </w:tcPr>
          <w:p w14:paraId="2F8B69C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mild to moderate AD</w:t>
            </w:r>
          </w:p>
          <w:p w14:paraId="12659D8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4B42FCFB" w14:textId="5F585021"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r>
      <w:tr w:rsidR="00241C9A" w:rsidRPr="005C429C" w14:paraId="50D349D6" w14:textId="77777777" w:rsidTr="008B293B">
        <w:trPr>
          <w:trHeight w:val="284"/>
        </w:trPr>
        <w:tc>
          <w:tcPr>
            <w:tcW w:w="542" w:type="pct"/>
            <w:vMerge/>
            <w:noWrap/>
            <w:hideMark/>
          </w:tcPr>
          <w:p w14:paraId="094C3362" w14:textId="6F22BF8F" w:rsidR="00FD60FD" w:rsidRPr="005C429C" w:rsidRDefault="00FD60FD" w:rsidP="00B63A86">
            <w:pPr>
              <w:jc w:val="both"/>
              <w:rPr>
                <w:rFonts w:ascii="Times New Roman" w:hAnsi="Times New Roman" w:cs="Times New Roman"/>
              </w:rPr>
            </w:pPr>
          </w:p>
        </w:tc>
        <w:tc>
          <w:tcPr>
            <w:tcW w:w="551" w:type="pct"/>
            <w:vMerge/>
            <w:noWrap/>
            <w:hideMark/>
          </w:tcPr>
          <w:p w14:paraId="4B5BE069" w14:textId="32503677" w:rsidR="00FD60FD" w:rsidRPr="005C429C" w:rsidRDefault="00FD60FD" w:rsidP="00B63A86">
            <w:pPr>
              <w:jc w:val="both"/>
              <w:rPr>
                <w:rFonts w:ascii="Times New Roman" w:hAnsi="Times New Roman" w:cs="Times New Roman"/>
              </w:rPr>
            </w:pPr>
          </w:p>
        </w:tc>
        <w:tc>
          <w:tcPr>
            <w:tcW w:w="396" w:type="pct"/>
            <w:vMerge/>
            <w:noWrap/>
            <w:hideMark/>
          </w:tcPr>
          <w:p w14:paraId="1EBD039F" w14:textId="5263BEC0" w:rsidR="00FD60FD" w:rsidRPr="005C429C" w:rsidRDefault="00FD60FD" w:rsidP="00B63A86">
            <w:pPr>
              <w:jc w:val="both"/>
              <w:rPr>
                <w:rFonts w:ascii="Times New Roman" w:hAnsi="Times New Roman" w:cs="Times New Roman"/>
              </w:rPr>
            </w:pPr>
          </w:p>
        </w:tc>
        <w:tc>
          <w:tcPr>
            <w:tcW w:w="421" w:type="pct"/>
            <w:vMerge/>
            <w:noWrap/>
            <w:hideMark/>
          </w:tcPr>
          <w:p w14:paraId="5440BEAE" w14:textId="778B3918" w:rsidR="00FD60FD" w:rsidRPr="005C429C" w:rsidRDefault="00FD60FD" w:rsidP="00B63A86">
            <w:pPr>
              <w:jc w:val="both"/>
              <w:rPr>
                <w:rFonts w:ascii="Times New Roman" w:hAnsi="Times New Roman" w:cs="Times New Roman"/>
              </w:rPr>
            </w:pPr>
          </w:p>
        </w:tc>
        <w:tc>
          <w:tcPr>
            <w:tcW w:w="1248" w:type="pct"/>
            <w:noWrap/>
            <w:hideMark/>
          </w:tcPr>
          <w:p w14:paraId="52E003D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0.5 mg/kg</w:t>
            </w:r>
          </w:p>
        </w:tc>
        <w:tc>
          <w:tcPr>
            <w:tcW w:w="516" w:type="pct"/>
            <w:noWrap/>
            <w:hideMark/>
          </w:tcPr>
          <w:p w14:paraId="76FFEE6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658</w:t>
            </w:r>
          </w:p>
        </w:tc>
        <w:tc>
          <w:tcPr>
            <w:tcW w:w="1326" w:type="pct"/>
            <w:gridSpan w:val="2"/>
            <w:vMerge/>
            <w:noWrap/>
            <w:hideMark/>
          </w:tcPr>
          <w:p w14:paraId="3CEC5059" w14:textId="064C1341" w:rsidR="00FD60FD" w:rsidRPr="005C429C" w:rsidRDefault="00FD60FD" w:rsidP="00B63A86">
            <w:pPr>
              <w:jc w:val="both"/>
              <w:rPr>
                <w:rFonts w:ascii="Times New Roman" w:hAnsi="Times New Roman" w:cs="Times New Roman"/>
              </w:rPr>
            </w:pPr>
          </w:p>
        </w:tc>
      </w:tr>
      <w:tr w:rsidR="00241C9A" w:rsidRPr="005C429C" w14:paraId="6B270C04" w14:textId="77777777" w:rsidTr="008B293B">
        <w:trPr>
          <w:trHeight w:val="284"/>
        </w:trPr>
        <w:tc>
          <w:tcPr>
            <w:tcW w:w="542" w:type="pct"/>
            <w:vMerge w:val="restart"/>
            <w:noWrap/>
            <w:hideMark/>
          </w:tcPr>
          <w:p w14:paraId="1C14661E" w14:textId="1FA9D11E" w:rsidR="00FD60FD" w:rsidRPr="005C429C" w:rsidRDefault="00FD60FD" w:rsidP="00B63A86">
            <w:pPr>
              <w:jc w:val="both"/>
              <w:rPr>
                <w:rFonts w:ascii="Times New Roman" w:hAnsi="Times New Roman" w:cs="Times New Roman"/>
              </w:rPr>
            </w:pPr>
            <w:r w:rsidRPr="005C429C">
              <w:rPr>
                <w:rFonts w:ascii="Times New Roman" w:hAnsi="Times New Roman" w:cs="Times New Roman"/>
              </w:rPr>
              <w:t>Bapineuzumab 302 </w:t>
            </w:r>
          </w:p>
          <w:p w14:paraId="54C478F9" w14:textId="559E5308"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551" w:type="pct"/>
            <w:vMerge w:val="restart"/>
            <w:noWrap/>
            <w:hideMark/>
          </w:tcPr>
          <w:p w14:paraId="1E3A2751" w14:textId="63F5E10D"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NCT00574132 </w:t>
            </w:r>
          </w:p>
          <w:p w14:paraId="1061C752" w14:textId="38031F6D"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21F3CB9F" w14:textId="067BEDE4" w:rsidR="00FD60FD" w:rsidRPr="005C429C" w:rsidRDefault="00FD60FD" w:rsidP="00B63A86">
            <w:pPr>
              <w:jc w:val="both"/>
              <w:rPr>
                <w:rFonts w:ascii="Times New Roman" w:hAnsi="Times New Roman" w:cs="Times New Roman"/>
              </w:rPr>
            </w:pPr>
            <w:r w:rsidRPr="005C429C">
              <w:rPr>
                <w:rFonts w:ascii="Times New Roman" w:hAnsi="Times New Roman" w:cs="Times New Roman"/>
              </w:rPr>
              <w:t>Bapineuzumab</w:t>
            </w:r>
          </w:p>
          <w:p w14:paraId="1228469F" w14:textId="20D75DFF"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421" w:type="pct"/>
            <w:vMerge w:val="restart"/>
            <w:noWrap/>
            <w:hideMark/>
          </w:tcPr>
          <w:p w14:paraId="6DB907A1" w14:textId="5B61F069" w:rsidR="00FD60FD" w:rsidRPr="005C429C" w:rsidRDefault="00FD60FD" w:rsidP="00B63A86">
            <w:pPr>
              <w:jc w:val="both"/>
              <w:rPr>
                <w:rFonts w:ascii="Times New Roman" w:hAnsi="Times New Roman" w:cs="Times New Roman"/>
              </w:rPr>
            </w:pPr>
            <w:r w:rsidRPr="005C429C">
              <w:rPr>
                <w:rFonts w:ascii="Times New Roman" w:hAnsi="Times New Roman" w:cs="Times New Roman"/>
              </w:rPr>
              <w:t>78 weeks </w:t>
            </w:r>
          </w:p>
          <w:p w14:paraId="2E29ED39" w14:textId="6E66ABFD"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197E64A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20E8E07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493</w:t>
            </w:r>
          </w:p>
        </w:tc>
        <w:tc>
          <w:tcPr>
            <w:tcW w:w="1326" w:type="pct"/>
            <w:gridSpan w:val="2"/>
            <w:vMerge w:val="restart"/>
            <w:noWrap/>
            <w:hideMark/>
          </w:tcPr>
          <w:p w14:paraId="6865FE50" w14:textId="2B6BDC79" w:rsidR="00FD60FD" w:rsidRPr="005C429C" w:rsidRDefault="00FD60FD" w:rsidP="00B63A86">
            <w:pPr>
              <w:jc w:val="both"/>
              <w:rPr>
                <w:rFonts w:ascii="Times New Roman" w:hAnsi="Times New Roman" w:cs="Times New Roman"/>
              </w:rPr>
            </w:pPr>
            <w:r w:rsidRPr="005C429C">
              <w:rPr>
                <w:rFonts w:ascii="Times New Roman" w:hAnsi="Times New Roman" w:cs="Times New Roman"/>
              </w:rPr>
              <w:t>mild to moderate A</w:t>
            </w:r>
            <w:r w:rsidR="00241C9A">
              <w:rPr>
                <w:rFonts w:ascii="Times New Roman" w:hAnsi="Times New Roman" w:cs="Times New Roman"/>
              </w:rPr>
              <w:t>D</w:t>
            </w:r>
          </w:p>
          <w:p w14:paraId="66A8207A" w14:textId="0F5308E1"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20F82819" w14:textId="5AF2C9F3"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r>
      <w:tr w:rsidR="00241C9A" w:rsidRPr="005C429C" w14:paraId="19731C03" w14:textId="77777777" w:rsidTr="008B293B">
        <w:trPr>
          <w:trHeight w:val="284"/>
        </w:trPr>
        <w:tc>
          <w:tcPr>
            <w:tcW w:w="542" w:type="pct"/>
            <w:vMerge/>
            <w:noWrap/>
            <w:hideMark/>
          </w:tcPr>
          <w:p w14:paraId="5404D37D" w14:textId="08BF286D" w:rsidR="00FD60FD" w:rsidRPr="005C429C" w:rsidRDefault="00FD60FD" w:rsidP="00B63A86">
            <w:pPr>
              <w:jc w:val="both"/>
              <w:rPr>
                <w:rFonts w:ascii="Times New Roman" w:hAnsi="Times New Roman" w:cs="Times New Roman"/>
              </w:rPr>
            </w:pPr>
          </w:p>
        </w:tc>
        <w:tc>
          <w:tcPr>
            <w:tcW w:w="551" w:type="pct"/>
            <w:vMerge/>
            <w:noWrap/>
            <w:hideMark/>
          </w:tcPr>
          <w:p w14:paraId="58323AC0" w14:textId="56E01009" w:rsidR="00FD60FD" w:rsidRPr="005C429C" w:rsidRDefault="00FD60FD" w:rsidP="00B63A86">
            <w:pPr>
              <w:jc w:val="both"/>
              <w:rPr>
                <w:rFonts w:ascii="Times New Roman" w:hAnsi="Times New Roman" w:cs="Times New Roman"/>
              </w:rPr>
            </w:pPr>
          </w:p>
        </w:tc>
        <w:tc>
          <w:tcPr>
            <w:tcW w:w="396" w:type="pct"/>
            <w:vMerge/>
            <w:noWrap/>
            <w:hideMark/>
          </w:tcPr>
          <w:p w14:paraId="1A04B783" w14:textId="5174A1CD" w:rsidR="00FD60FD" w:rsidRPr="005C429C" w:rsidRDefault="00FD60FD" w:rsidP="00B63A86">
            <w:pPr>
              <w:jc w:val="both"/>
              <w:rPr>
                <w:rFonts w:ascii="Times New Roman" w:hAnsi="Times New Roman" w:cs="Times New Roman"/>
              </w:rPr>
            </w:pPr>
          </w:p>
        </w:tc>
        <w:tc>
          <w:tcPr>
            <w:tcW w:w="421" w:type="pct"/>
            <w:vMerge/>
            <w:noWrap/>
            <w:hideMark/>
          </w:tcPr>
          <w:p w14:paraId="4200D550" w14:textId="57B1BA21" w:rsidR="00FD60FD" w:rsidRPr="005C429C" w:rsidRDefault="00FD60FD" w:rsidP="00B63A86">
            <w:pPr>
              <w:jc w:val="both"/>
              <w:rPr>
                <w:rFonts w:ascii="Times New Roman" w:hAnsi="Times New Roman" w:cs="Times New Roman"/>
              </w:rPr>
            </w:pPr>
          </w:p>
        </w:tc>
        <w:tc>
          <w:tcPr>
            <w:tcW w:w="1248" w:type="pct"/>
            <w:noWrap/>
            <w:hideMark/>
          </w:tcPr>
          <w:p w14:paraId="350424C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0.5 mg/kg</w:t>
            </w:r>
          </w:p>
        </w:tc>
        <w:tc>
          <w:tcPr>
            <w:tcW w:w="516" w:type="pct"/>
            <w:noWrap/>
            <w:hideMark/>
          </w:tcPr>
          <w:p w14:paraId="7B046B91"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314</w:t>
            </w:r>
          </w:p>
        </w:tc>
        <w:tc>
          <w:tcPr>
            <w:tcW w:w="1326" w:type="pct"/>
            <w:gridSpan w:val="2"/>
            <w:vMerge/>
            <w:noWrap/>
            <w:hideMark/>
          </w:tcPr>
          <w:p w14:paraId="494FE78E" w14:textId="606EDA69" w:rsidR="00FD60FD" w:rsidRPr="005C429C" w:rsidRDefault="00FD60FD" w:rsidP="00B63A86">
            <w:pPr>
              <w:jc w:val="both"/>
              <w:rPr>
                <w:rFonts w:ascii="Times New Roman" w:hAnsi="Times New Roman" w:cs="Times New Roman"/>
              </w:rPr>
            </w:pPr>
          </w:p>
        </w:tc>
      </w:tr>
      <w:tr w:rsidR="00241C9A" w:rsidRPr="005C429C" w14:paraId="27C8E0D0" w14:textId="77777777" w:rsidTr="008B293B">
        <w:trPr>
          <w:trHeight w:val="284"/>
        </w:trPr>
        <w:tc>
          <w:tcPr>
            <w:tcW w:w="542" w:type="pct"/>
            <w:vMerge/>
            <w:noWrap/>
            <w:hideMark/>
          </w:tcPr>
          <w:p w14:paraId="7006685E" w14:textId="708B55BB" w:rsidR="00FD60FD" w:rsidRPr="005C429C" w:rsidRDefault="00FD60FD" w:rsidP="00B63A86">
            <w:pPr>
              <w:jc w:val="both"/>
              <w:rPr>
                <w:rFonts w:ascii="Times New Roman" w:hAnsi="Times New Roman" w:cs="Times New Roman"/>
              </w:rPr>
            </w:pPr>
          </w:p>
        </w:tc>
        <w:tc>
          <w:tcPr>
            <w:tcW w:w="551" w:type="pct"/>
            <w:vMerge/>
            <w:noWrap/>
            <w:hideMark/>
          </w:tcPr>
          <w:p w14:paraId="40DED0B7" w14:textId="009DC476" w:rsidR="00FD60FD" w:rsidRPr="005C429C" w:rsidRDefault="00FD60FD" w:rsidP="00B63A86">
            <w:pPr>
              <w:jc w:val="both"/>
              <w:rPr>
                <w:rFonts w:ascii="Times New Roman" w:hAnsi="Times New Roman" w:cs="Times New Roman"/>
              </w:rPr>
            </w:pPr>
          </w:p>
        </w:tc>
        <w:tc>
          <w:tcPr>
            <w:tcW w:w="396" w:type="pct"/>
            <w:vMerge/>
            <w:noWrap/>
            <w:hideMark/>
          </w:tcPr>
          <w:p w14:paraId="3EF9CBFB" w14:textId="1B38CDF5" w:rsidR="00FD60FD" w:rsidRPr="005C429C" w:rsidRDefault="00FD60FD" w:rsidP="00B63A86">
            <w:pPr>
              <w:jc w:val="both"/>
              <w:rPr>
                <w:rFonts w:ascii="Times New Roman" w:hAnsi="Times New Roman" w:cs="Times New Roman"/>
              </w:rPr>
            </w:pPr>
          </w:p>
        </w:tc>
        <w:tc>
          <w:tcPr>
            <w:tcW w:w="421" w:type="pct"/>
            <w:vMerge/>
            <w:noWrap/>
            <w:hideMark/>
          </w:tcPr>
          <w:p w14:paraId="10132B50" w14:textId="2BDC0D8D" w:rsidR="00FD60FD" w:rsidRPr="005C429C" w:rsidRDefault="00FD60FD" w:rsidP="00B63A86">
            <w:pPr>
              <w:jc w:val="both"/>
              <w:rPr>
                <w:rFonts w:ascii="Times New Roman" w:hAnsi="Times New Roman" w:cs="Times New Roman"/>
              </w:rPr>
            </w:pPr>
          </w:p>
        </w:tc>
        <w:tc>
          <w:tcPr>
            <w:tcW w:w="1248" w:type="pct"/>
            <w:noWrap/>
            <w:hideMark/>
          </w:tcPr>
          <w:p w14:paraId="4A71485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 mg/kg</w:t>
            </w:r>
          </w:p>
        </w:tc>
        <w:tc>
          <w:tcPr>
            <w:tcW w:w="516" w:type="pct"/>
            <w:noWrap/>
            <w:hideMark/>
          </w:tcPr>
          <w:p w14:paraId="76F13F3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307</w:t>
            </w:r>
          </w:p>
        </w:tc>
        <w:tc>
          <w:tcPr>
            <w:tcW w:w="1326" w:type="pct"/>
            <w:gridSpan w:val="2"/>
            <w:vMerge/>
            <w:noWrap/>
            <w:hideMark/>
          </w:tcPr>
          <w:p w14:paraId="1AA785E8" w14:textId="27E6AD9E" w:rsidR="00FD60FD" w:rsidRPr="005C429C" w:rsidRDefault="00FD60FD" w:rsidP="00B63A86">
            <w:pPr>
              <w:jc w:val="both"/>
              <w:rPr>
                <w:rFonts w:ascii="Times New Roman" w:hAnsi="Times New Roman" w:cs="Times New Roman"/>
              </w:rPr>
            </w:pPr>
          </w:p>
        </w:tc>
      </w:tr>
      <w:tr w:rsidR="00241C9A" w:rsidRPr="005C429C" w14:paraId="32A2DB9C" w14:textId="77777777" w:rsidTr="008B293B">
        <w:trPr>
          <w:trHeight w:val="284"/>
        </w:trPr>
        <w:tc>
          <w:tcPr>
            <w:tcW w:w="542" w:type="pct"/>
            <w:vMerge w:val="restart"/>
            <w:noWrap/>
            <w:hideMark/>
          </w:tcPr>
          <w:p w14:paraId="606542A2" w14:textId="50C82F55" w:rsidR="00FD60FD" w:rsidRPr="005C429C" w:rsidRDefault="00FD60FD" w:rsidP="00241C9A">
            <w:pPr>
              <w:jc w:val="both"/>
              <w:rPr>
                <w:rFonts w:ascii="Times New Roman" w:hAnsi="Times New Roman" w:cs="Times New Roman"/>
              </w:rPr>
            </w:pPr>
            <w:r w:rsidRPr="005C429C">
              <w:rPr>
                <w:rFonts w:ascii="Times New Roman" w:hAnsi="Times New Roman" w:cs="Times New Roman"/>
              </w:rPr>
              <w:t>Study 3000 </w:t>
            </w:r>
          </w:p>
        </w:tc>
        <w:tc>
          <w:tcPr>
            <w:tcW w:w="551" w:type="pct"/>
            <w:vMerge w:val="restart"/>
            <w:noWrap/>
            <w:hideMark/>
          </w:tcPr>
          <w:p w14:paraId="54B011DA"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NCT00667810</w:t>
            </w:r>
          </w:p>
          <w:p w14:paraId="27BA2E19" w14:textId="01A9CD63"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2C87487B" w14:textId="5750C8E8" w:rsidR="00FD60FD" w:rsidRPr="005C429C" w:rsidRDefault="00FD60FD" w:rsidP="00241C9A">
            <w:pPr>
              <w:jc w:val="both"/>
              <w:rPr>
                <w:rFonts w:ascii="Times New Roman" w:hAnsi="Times New Roman" w:cs="Times New Roman"/>
              </w:rPr>
            </w:pPr>
            <w:r w:rsidRPr="005C429C">
              <w:rPr>
                <w:rFonts w:ascii="Times New Roman" w:hAnsi="Times New Roman" w:cs="Times New Roman"/>
              </w:rPr>
              <w:t>Bapineuzumab </w:t>
            </w:r>
          </w:p>
        </w:tc>
        <w:tc>
          <w:tcPr>
            <w:tcW w:w="421" w:type="pct"/>
            <w:vMerge w:val="restart"/>
            <w:noWrap/>
            <w:hideMark/>
          </w:tcPr>
          <w:p w14:paraId="358105AB"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78 weeks</w:t>
            </w:r>
          </w:p>
          <w:p w14:paraId="5CF45087" w14:textId="31C336CE"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23C22D9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6B5B34C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431</w:t>
            </w:r>
          </w:p>
        </w:tc>
        <w:tc>
          <w:tcPr>
            <w:tcW w:w="1326" w:type="pct"/>
            <w:gridSpan w:val="2"/>
            <w:vMerge w:val="restart"/>
            <w:noWrap/>
            <w:hideMark/>
          </w:tcPr>
          <w:p w14:paraId="250457A3" w14:textId="0A7958EB" w:rsidR="00FD60FD" w:rsidRPr="005C429C" w:rsidRDefault="00FD60FD" w:rsidP="00FD60FD">
            <w:pPr>
              <w:jc w:val="both"/>
              <w:rPr>
                <w:rFonts w:ascii="Times New Roman" w:hAnsi="Times New Roman" w:cs="Times New Roman"/>
              </w:rPr>
            </w:pPr>
            <w:r w:rsidRPr="005C429C">
              <w:rPr>
                <w:rFonts w:ascii="Times New Roman" w:hAnsi="Times New Roman" w:cs="Times New Roman"/>
              </w:rPr>
              <w:t>mild to moderate AD </w:t>
            </w:r>
          </w:p>
        </w:tc>
      </w:tr>
      <w:tr w:rsidR="00241C9A" w:rsidRPr="005C429C" w14:paraId="77C32BFE" w14:textId="77777777" w:rsidTr="008B293B">
        <w:trPr>
          <w:trHeight w:val="284"/>
        </w:trPr>
        <w:tc>
          <w:tcPr>
            <w:tcW w:w="542" w:type="pct"/>
            <w:vMerge/>
            <w:noWrap/>
            <w:hideMark/>
          </w:tcPr>
          <w:p w14:paraId="2CCFCFE2" w14:textId="1399FE53" w:rsidR="00FD60FD" w:rsidRPr="005C429C" w:rsidRDefault="00FD60FD" w:rsidP="00B63A86">
            <w:pPr>
              <w:jc w:val="both"/>
              <w:rPr>
                <w:rFonts w:ascii="Times New Roman" w:hAnsi="Times New Roman" w:cs="Times New Roman"/>
              </w:rPr>
            </w:pPr>
          </w:p>
        </w:tc>
        <w:tc>
          <w:tcPr>
            <w:tcW w:w="551" w:type="pct"/>
            <w:vMerge/>
            <w:noWrap/>
            <w:hideMark/>
          </w:tcPr>
          <w:p w14:paraId="3B66CD45" w14:textId="5FDA4C5A" w:rsidR="00FD60FD" w:rsidRPr="005C429C" w:rsidRDefault="00FD60FD" w:rsidP="00B63A86">
            <w:pPr>
              <w:jc w:val="both"/>
              <w:rPr>
                <w:rFonts w:ascii="Times New Roman" w:hAnsi="Times New Roman" w:cs="Times New Roman"/>
              </w:rPr>
            </w:pPr>
          </w:p>
        </w:tc>
        <w:tc>
          <w:tcPr>
            <w:tcW w:w="396" w:type="pct"/>
            <w:vMerge/>
            <w:noWrap/>
            <w:hideMark/>
          </w:tcPr>
          <w:p w14:paraId="71DDA46F" w14:textId="25B0D4DA" w:rsidR="00FD60FD" w:rsidRPr="005C429C" w:rsidRDefault="00FD60FD" w:rsidP="00B63A86">
            <w:pPr>
              <w:jc w:val="both"/>
              <w:rPr>
                <w:rFonts w:ascii="Times New Roman" w:hAnsi="Times New Roman" w:cs="Times New Roman"/>
              </w:rPr>
            </w:pPr>
          </w:p>
        </w:tc>
        <w:tc>
          <w:tcPr>
            <w:tcW w:w="421" w:type="pct"/>
            <w:vMerge/>
            <w:noWrap/>
            <w:hideMark/>
          </w:tcPr>
          <w:p w14:paraId="5EFA2464" w14:textId="62216087" w:rsidR="00FD60FD" w:rsidRPr="005C429C" w:rsidRDefault="00FD60FD" w:rsidP="00B63A86">
            <w:pPr>
              <w:jc w:val="both"/>
              <w:rPr>
                <w:rFonts w:ascii="Times New Roman" w:hAnsi="Times New Roman" w:cs="Times New Roman"/>
              </w:rPr>
            </w:pPr>
          </w:p>
        </w:tc>
        <w:tc>
          <w:tcPr>
            <w:tcW w:w="1248" w:type="pct"/>
            <w:noWrap/>
            <w:hideMark/>
          </w:tcPr>
          <w:p w14:paraId="3D530A1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0.5 mg/kg</w:t>
            </w:r>
          </w:p>
        </w:tc>
        <w:tc>
          <w:tcPr>
            <w:tcW w:w="516" w:type="pct"/>
            <w:noWrap/>
            <w:hideMark/>
          </w:tcPr>
          <w:p w14:paraId="35B6CE3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650</w:t>
            </w:r>
          </w:p>
        </w:tc>
        <w:tc>
          <w:tcPr>
            <w:tcW w:w="1326" w:type="pct"/>
            <w:gridSpan w:val="2"/>
            <w:vMerge/>
            <w:noWrap/>
            <w:hideMark/>
          </w:tcPr>
          <w:p w14:paraId="522BDCD1" w14:textId="09D71A88" w:rsidR="00FD60FD" w:rsidRPr="005C429C" w:rsidRDefault="00FD60FD" w:rsidP="00B63A86">
            <w:pPr>
              <w:jc w:val="both"/>
              <w:rPr>
                <w:rFonts w:ascii="Times New Roman" w:hAnsi="Times New Roman" w:cs="Times New Roman"/>
              </w:rPr>
            </w:pPr>
          </w:p>
        </w:tc>
      </w:tr>
      <w:tr w:rsidR="00241C9A" w:rsidRPr="005C429C" w14:paraId="0CE8741B" w14:textId="77777777" w:rsidTr="008B293B">
        <w:trPr>
          <w:trHeight w:val="284"/>
        </w:trPr>
        <w:tc>
          <w:tcPr>
            <w:tcW w:w="542" w:type="pct"/>
            <w:vMerge w:val="restart"/>
            <w:noWrap/>
            <w:hideMark/>
          </w:tcPr>
          <w:p w14:paraId="793F6B66" w14:textId="2ACCBC01" w:rsidR="00FD60FD" w:rsidRPr="005C429C" w:rsidRDefault="00FD60FD" w:rsidP="00B63A86">
            <w:pPr>
              <w:jc w:val="both"/>
              <w:rPr>
                <w:rFonts w:ascii="Times New Roman" w:hAnsi="Times New Roman" w:cs="Times New Roman"/>
              </w:rPr>
            </w:pPr>
            <w:r w:rsidRPr="005C429C">
              <w:rPr>
                <w:rFonts w:ascii="Times New Roman" w:hAnsi="Times New Roman" w:cs="Times New Roman"/>
              </w:rPr>
              <w:t>Study 3001 </w:t>
            </w:r>
          </w:p>
          <w:p w14:paraId="157BA8F6" w14:textId="11083359"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551" w:type="pct"/>
            <w:vMerge w:val="restart"/>
            <w:noWrap/>
            <w:hideMark/>
          </w:tcPr>
          <w:p w14:paraId="66AD5829"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NCT00676143</w:t>
            </w:r>
          </w:p>
          <w:p w14:paraId="231C032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440D983E" w14:textId="04B28681"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7C18BD3E" w14:textId="76292D77" w:rsidR="00FD60FD" w:rsidRPr="005C429C" w:rsidRDefault="00FD60FD" w:rsidP="00B63A86">
            <w:pPr>
              <w:jc w:val="both"/>
              <w:rPr>
                <w:rFonts w:ascii="Times New Roman" w:hAnsi="Times New Roman" w:cs="Times New Roman"/>
              </w:rPr>
            </w:pPr>
            <w:r w:rsidRPr="005C429C">
              <w:rPr>
                <w:rFonts w:ascii="Times New Roman" w:hAnsi="Times New Roman" w:cs="Times New Roman"/>
              </w:rPr>
              <w:t>Bapineuzumab</w:t>
            </w:r>
          </w:p>
          <w:p w14:paraId="5896692D" w14:textId="5C20EF14"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421" w:type="pct"/>
            <w:vMerge w:val="restart"/>
            <w:noWrap/>
            <w:hideMark/>
          </w:tcPr>
          <w:p w14:paraId="229635D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78 weeks</w:t>
            </w:r>
          </w:p>
          <w:p w14:paraId="779C26E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1D4DB758" w14:textId="3C8CABA1"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497F763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39E6441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328</w:t>
            </w:r>
          </w:p>
        </w:tc>
        <w:tc>
          <w:tcPr>
            <w:tcW w:w="1326" w:type="pct"/>
            <w:gridSpan w:val="2"/>
            <w:vMerge w:val="restart"/>
            <w:noWrap/>
            <w:hideMark/>
          </w:tcPr>
          <w:p w14:paraId="56A150A7" w14:textId="6682157F" w:rsidR="00FD60FD" w:rsidRPr="005C429C" w:rsidRDefault="00FD60FD" w:rsidP="00B63A86">
            <w:pPr>
              <w:jc w:val="both"/>
              <w:rPr>
                <w:rFonts w:ascii="Times New Roman" w:hAnsi="Times New Roman" w:cs="Times New Roman"/>
              </w:rPr>
            </w:pPr>
            <w:r w:rsidRPr="005C429C">
              <w:rPr>
                <w:rFonts w:ascii="Times New Roman" w:hAnsi="Times New Roman" w:cs="Times New Roman"/>
              </w:rPr>
              <w:t>mild to moderate AD </w:t>
            </w:r>
          </w:p>
          <w:p w14:paraId="059FFDB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p w14:paraId="51CEFDB9" w14:textId="65D40A20"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r>
      <w:tr w:rsidR="00241C9A" w:rsidRPr="005C429C" w14:paraId="2411C609" w14:textId="77777777" w:rsidTr="008B293B">
        <w:trPr>
          <w:trHeight w:val="284"/>
        </w:trPr>
        <w:tc>
          <w:tcPr>
            <w:tcW w:w="542" w:type="pct"/>
            <w:vMerge/>
            <w:noWrap/>
            <w:hideMark/>
          </w:tcPr>
          <w:p w14:paraId="4CBAF7BD" w14:textId="2B3210C1" w:rsidR="00FD60FD" w:rsidRPr="005C429C" w:rsidRDefault="00FD60FD" w:rsidP="00B63A86">
            <w:pPr>
              <w:jc w:val="both"/>
              <w:rPr>
                <w:rFonts w:ascii="Times New Roman" w:hAnsi="Times New Roman" w:cs="Times New Roman"/>
              </w:rPr>
            </w:pPr>
          </w:p>
        </w:tc>
        <w:tc>
          <w:tcPr>
            <w:tcW w:w="551" w:type="pct"/>
            <w:vMerge/>
            <w:noWrap/>
            <w:hideMark/>
          </w:tcPr>
          <w:p w14:paraId="3BBEF5E3" w14:textId="4FC57F31" w:rsidR="00FD60FD" w:rsidRPr="005C429C" w:rsidRDefault="00FD60FD" w:rsidP="00B63A86">
            <w:pPr>
              <w:jc w:val="both"/>
              <w:rPr>
                <w:rFonts w:ascii="Times New Roman" w:hAnsi="Times New Roman" w:cs="Times New Roman"/>
              </w:rPr>
            </w:pPr>
          </w:p>
        </w:tc>
        <w:tc>
          <w:tcPr>
            <w:tcW w:w="396" w:type="pct"/>
            <w:vMerge/>
            <w:noWrap/>
            <w:hideMark/>
          </w:tcPr>
          <w:p w14:paraId="27EBD258" w14:textId="11A2D4DC" w:rsidR="00FD60FD" w:rsidRPr="005C429C" w:rsidRDefault="00FD60FD" w:rsidP="00B63A86">
            <w:pPr>
              <w:jc w:val="both"/>
              <w:rPr>
                <w:rFonts w:ascii="Times New Roman" w:hAnsi="Times New Roman" w:cs="Times New Roman"/>
              </w:rPr>
            </w:pPr>
          </w:p>
        </w:tc>
        <w:tc>
          <w:tcPr>
            <w:tcW w:w="421" w:type="pct"/>
            <w:vMerge/>
            <w:noWrap/>
            <w:hideMark/>
          </w:tcPr>
          <w:p w14:paraId="1CF13B62" w14:textId="5B673CD9" w:rsidR="00FD60FD" w:rsidRPr="005C429C" w:rsidRDefault="00FD60FD" w:rsidP="00B63A86">
            <w:pPr>
              <w:jc w:val="both"/>
              <w:rPr>
                <w:rFonts w:ascii="Times New Roman" w:hAnsi="Times New Roman" w:cs="Times New Roman"/>
              </w:rPr>
            </w:pPr>
          </w:p>
        </w:tc>
        <w:tc>
          <w:tcPr>
            <w:tcW w:w="1248" w:type="pct"/>
            <w:noWrap/>
            <w:hideMark/>
          </w:tcPr>
          <w:p w14:paraId="6D7FE80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0.5 mg/kg</w:t>
            </w:r>
          </w:p>
        </w:tc>
        <w:tc>
          <w:tcPr>
            <w:tcW w:w="516" w:type="pct"/>
            <w:noWrap/>
            <w:hideMark/>
          </w:tcPr>
          <w:p w14:paraId="5EF5550B"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255</w:t>
            </w:r>
          </w:p>
        </w:tc>
        <w:tc>
          <w:tcPr>
            <w:tcW w:w="1326" w:type="pct"/>
            <w:gridSpan w:val="2"/>
            <w:vMerge/>
            <w:noWrap/>
            <w:hideMark/>
          </w:tcPr>
          <w:p w14:paraId="32A2A146" w14:textId="4B6521D2" w:rsidR="00FD60FD" w:rsidRPr="005C429C" w:rsidRDefault="00FD60FD" w:rsidP="00B63A86">
            <w:pPr>
              <w:jc w:val="both"/>
              <w:rPr>
                <w:rFonts w:ascii="Times New Roman" w:hAnsi="Times New Roman" w:cs="Times New Roman"/>
              </w:rPr>
            </w:pPr>
          </w:p>
        </w:tc>
      </w:tr>
      <w:tr w:rsidR="00241C9A" w:rsidRPr="005C429C" w14:paraId="73713009" w14:textId="77777777" w:rsidTr="008B293B">
        <w:trPr>
          <w:trHeight w:val="284"/>
        </w:trPr>
        <w:tc>
          <w:tcPr>
            <w:tcW w:w="542" w:type="pct"/>
            <w:vMerge/>
            <w:noWrap/>
            <w:hideMark/>
          </w:tcPr>
          <w:p w14:paraId="58E7054F" w14:textId="30E00565" w:rsidR="00FD60FD" w:rsidRPr="005C429C" w:rsidRDefault="00FD60FD" w:rsidP="00B63A86">
            <w:pPr>
              <w:jc w:val="both"/>
              <w:rPr>
                <w:rFonts w:ascii="Times New Roman" w:hAnsi="Times New Roman" w:cs="Times New Roman"/>
              </w:rPr>
            </w:pPr>
          </w:p>
        </w:tc>
        <w:tc>
          <w:tcPr>
            <w:tcW w:w="551" w:type="pct"/>
            <w:vMerge/>
            <w:noWrap/>
            <w:hideMark/>
          </w:tcPr>
          <w:p w14:paraId="31C390D3" w14:textId="52A301DC" w:rsidR="00FD60FD" w:rsidRPr="005C429C" w:rsidRDefault="00FD60FD" w:rsidP="00B63A86">
            <w:pPr>
              <w:jc w:val="both"/>
              <w:rPr>
                <w:rFonts w:ascii="Times New Roman" w:hAnsi="Times New Roman" w:cs="Times New Roman"/>
              </w:rPr>
            </w:pPr>
          </w:p>
        </w:tc>
        <w:tc>
          <w:tcPr>
            <w:tcW w:w="396" w:type="pct"/>
            <w:vMerge/>
            <w:noWrap/>
            <w:hideMark/>
          </w:tcPr>
          <w:p w14:paraId="3697C26C" w14:textId="3BD8681C" w:rsidR="00FD60FD" w:rsidRPr="005C429C" w:rsidRDefault="00FD60FD" w:rsidP="00B63A86">
            <w:pPr>
              <w:jc w:val="both"/>
              <w:rPr>
                <w:rFonts w:ascii="Times New Roman" w:hAnsi="Times New Roman" w:cs="Times New Roman"/>
              </w:rPr>
            </w:pPr>
          </w:p>
        </w:tc>
        <w:tc>
          <w:tcPr>
            <w:tcW w:w="421" w:type="pct"/>
            <w:vMerge/>
            <w:noWrap/>
            <w:hideMark/>
          </w:tcPr>
          <w:p w14:paraId="770A85EB" w14:textId="47A5D8E3" w:rsidR="00FD60FD" w:rsidRPr="005C429C" w:rsidRDefault="00FD60FD" w:rsidP="00B63A86">
            <w:pPr>
              <w:jc w:val="both"/>
              <w:rPr>
                <w:rFonts w:ascii="Times New Roman" w:hAnsi="Times New Roman" w:cs="Times New Roman"/>
              </w:rPr>
            </w:pPr>
          </w:p>
        </w:tc>
        <w:tc>
          <w:tcPr>
            <w:tcW w:w="1248" w:type="pct"/>
            <w:noWrap/>
            <w:hideMark/>
          </w:tcPr>
          <w:p w14:paraId="69C07CA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 mg/kg</w:t>
            </w:r>
          </w:p>
        </w:tc>
        <w:tc>
          <w:tcPr>
            <w:tcW w:w="516" w:type="pct"/>
            <w:noWrap/>
            <w:hideMark/>
          </w:tcPr>
          <w:p w14:paraId="187B35A4"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253</w:t>
            </w:r>
          </w:p>
        </w:tc>
        <w:tc>
          <w:tcPr>
            <w:tcW w:w="1326" w:type="pct"/>
            <w:gridSpan w:val="2"/>
            <w:vMerge/>
            <w:noWrap/>
            <w:hideMark/>
          </w:tcPr>
          <w:p w14:paraId="3A65EE3B" w14:textId="7D74DEA6" w:rsidR="00FD60FD" w:rsidRPr="005C429C" w:rsidRDefault="00FD60FD" w:rsidP="00B63A86">
            <w:pPr>
              <w:jc w:val="both"/>
              <w:rPr>
                <w:rFonts w:ascii="Times New Roman" w:hAnsi="Times New Roman" w:cs="Times New Roman"/>
              </w:rPr>
            </w:pPr>
          </w:p>
        </w:tc>
      </w:tr>
      <w:tr w:rsidR="00241C9A" w:rsidRPr="005C429C" w14:paraId="393E986E" w14:textId="77777777" w:rsidTr="008B293B">
        <w:trPr>
          <w:trHeight w:val="284"/>
        </w:trPr>
        <w:tc>
          <w:tcPr>
            <w:tcW w:w="542" w:type="pct"/>
            <w:vMerge w:val="restart"/>
            <w:noWrap/>
            <w:vAlign w:val="center"/>
          </w:tcPr>
          <w:p w14:paraId="4357595B" w14:textId="627C1ED3" w:rsidR="008B293B" w:rsidRPr="005C429C" w:rsidRDefault="008B293B" w:rsidP="00241C9A">
            <w:pPr>
              <w:jc w:val="both"/>
              <w:rPr>
                <w:rFonts w:ascii="Times New Roman" w:hAnsi="Times New Roman" w:cs="Times New Roman"/>
              </w:rPr>
            </w:pPr>
            <w:r w:rsidRPr="005C429C">
              <w:rPr>
                <w:rFonts w:ascii="Times New Roman" w:hAnsi="Times New Roman" w:cs="Times New Roman"/>
                <w:color w:val="000000"/>
              </w:rPr>
              <w:t>Brody 2016</w:t>
            </w:r>
          </w:p>
        </w:tc>
        <w:tc>
          <w:tcPr>
            <w:tcW w:w="551" w:type="pct"/>
            <w:vMerge w:val="restart"/>
            <w:noWrap/>
            <w:vAlign w:val="center"/>
          </w:tcPr>
          <w:p w14:paraId="090BBF3F" w14:textId="71256815" w:rsidR="008B293B" w:rsidRPr="005C429C" w:rsidRDefault="008B293B" w:rsidP="00241C9A">
            <w:pPr>
              <w:jc w:val="both"/>
              <w:rPr>
                <w:rFonts w:ascii="Times New Roman" w:hAnsi="Times New Roman" w:cs="Times New Roman"/>
              </w:rPr>
            </w:pPr>
            <w:r w:rsidRPr="005C429C">
              <w:rPr>
                <w:rFonts w:ascii="Times New Roman" w:hAnsi="Times New Roman" w:cs="Times New Roman"/>
                <w:color w:val="000000"/>
              </w:rPr>
              <w:t>NCT01254773 </w:t>
            </w:r>
          </w:p>
        </w:tc>
        <w:tc>
          <w:tcPr>
            <w:tcW w:w="396" w:type="pct"/>
            <w:vMerge w:val="restart"/>
            <w:noWrap/>
            <w:vAlign w:val="bottom"/>
          </w:tcPr>
          <w:p w14:paraId="22B4766E" w14:textId="1447C165" w:rsidR="008B293B" w:rsidRPr="005C429C" w:rsidRDefault="008B293B" w:rsidP="00241C9A">
            <w:pPr>
              <w:jc w:val="both"/>
              <w:rPr>
                <w:rFonts w:ascii="Times New Roman" w:hAnsi="Times New Roman" w:cs="Times New Roman"/>
              </w:rPr>
            </w:pPr>
            <w:r w:rsidRPr="005C429C">
              <w:rPr>
                <w:rFonts w:ascii="Times New Roman" w:hAnsi="Times New Roman" w:cs="Times New Roman"/>
                <w:color w:val="171716"/>
              </w:rPr>
              <w:t>Bapineuzumab</w:t>
            </w:r>
          </w:p>
        </w:tc>
        <w:tc>
          <w:tcPr>
            <w:tcW w:w="421" w:type="pct"/>
            <w:vMerge w:val="restart"/>
            <w:noWrap/>
            <w:vAlign w:val="center"/>
          </w:tcPr>
          <w:p w14:paraId="55C70445" w14:textId="77777777" w:rsidR="008B293B" w:rsidRPr="005C429C" w:rsidRDefault="008B293B" w:rsidP="005C429C">
            <w:pPr>
              <w:jc w:val="both"/>
              <w:rPr>
                <w:rFonts w:ascii="Times New Roman" w:hAnsi="Times New Roman" w:cs="Times New Roman"/>
              </w:rPr>
            </w:pPr>
            <w:r w:rsidRPr="005C429C">
              <w:rPr>
                <w:rFonts w:ascii="Times New Roman" w:hAnsi="Times New Roman" w:cs="Times New Roman"/>
                <w:color w:val="000000"/>
              </w:rPr>
              <w:t>48 weeks</w:t>
            </w:r>
          </w:p>
          <w:p w14:paraId="4EFBA761" w14:textId="77777777" w:rsidR="008B293B" w:rsidRPr="005C429C" w:rsidRDefault="008B293B" w:rsidP="005C429C">
            <w:pPr>
              <w:jc w:val="both"/>
              <w:rPr>
                <w:rFonts w:ascii="Times New Roman" w:hAnsi="Times New Roman" w:cs="Times New Roman"/>
              </w:rPr>
            </w:pPr>
            <w:r w:rsidRPr="005C429C">
              <w:rPr>
                <w:rFonts w:ascii="Times New Roman" w:hAnsi="Times New Roman" w:cs="Times New Roman"/>
                <w:color w:val="000000"/>
              </w:rPr>
              <w:t> </w:t>
            </w:r>
          </w:p>
          <w:p w14:paraId="275105B0" w14:textId="77777777" w:rsidR="008B293B" w:rsidRPr="005C429C" w:rsidRDefault="008B293B" w:rsidP="005C429C">
            <w:pPr>
              <w:jc w:val="both"/>
              <w:rPr>
                <w:rFonts w:ascii="Times New Roman" w:hAnsi="Times New Roman" w:cs="Times New Roman"/>
              </w:rPr>
            </w:pPr>
            <w:r w:rsidRPr="005C429C">
              <w:rPr>
                <w:rFonts w:ascii="Times New Roman" w:hAnsi="Times New Roman" w:cs="Times New Roman"/>
                <w:color w:val="000000"/>
              </w:rPr>
              <w:t> </w:t>
            </w:r>
          </w:p>
          <w:p w14:paraId="003029B0" w14:textId="6A53F56B" w:rsidR="008B293B" w:rsidRPr="005C429C" w:rsidRDefault="008B293B" w:rsidP="005C429C">
            <w:pPr>
              <w:jc w:val="both"/>
              <w:rPr>
                <w:rFonts w:ascii="Times New Roman" w:hAnsi="Times New Roman" w:cs="Times New Roman"/>
              </w:rPr>
            </w:pPr>
            <w:r w:rsidRPr="005C429C">
              <w:rPr>
                <w:rFonts w:ascii="Times New Roman" w:hAnsi="Times New Roman" w:cs="Times New Roman"/>
                <w:color w:val="000000"/>
              </w:rPr>
              <w:t> </w:t>
            </w:r>
          </w:p>
        </w:tc>
        <w:tc>
          <w:tcPr>
            <w:tcW w:w="1248" w:type="pct"/>
            <w:noWrap/>
            <w:vAlign w:val="bottom"/>
          </w:tcPr>
          <w:p w14:paraId="52BC029A" w14:textId="3FA7657D" w:rsidR="008B293B" w:rsidRPr="005C429C" w:rsidRDefault="008B293B" w:rsidP="005C429C">
            <w:pPr>
              <w:jc w:val="both"/>
              <w:rPr>
                <w:rFonts w:ascii="Times New Roman" w:hAnsi="Times New Roman" w:cs="Times New Roman"/>
              </w:rPr>
            </w:pPr>
            <w:r w:rsidRPr="005C429C">
              <w:rPr>
                <w:rFonts w:ascii="Times New Roman" w:hAnsi="Times New Roman" w:cs="Times New Roman"/>
                <w:color w:val="000000"/>
              </w:rPr>
              <w:t>Placebo</w:t>
            </w:r>
          </w:p>
        </w:tc>
        <w:tc>
          <w:tcPr>
            <w:tcW w:w="516" w:type="pct"/>
            <w:noWrap/>
            <w:vAlign w:val="bottom"/>
          </w:tcPr>
          <w:p w14:paraId="11BCBA99" w14:textId="13ED41FB" w:rsidR="008B293B" w:rsidRPr="005C429C" w:rsidRDefault="008B293B" w:rsidP="005C429C">
            <w:pPr>
              <w:jc w:val="both"/>
              <w:rPr>
                <w:rFonts w:ascii="Times New Roman" w:hAnsi="Times New Roman" w:cs="Times New Roman"/>
              </w:rPr>
            </w:pPr>
            <w:r w:rsidRPr="005C429C">
              <w:rPr>
                <w:rFonts w:ascii="Times New Roman" w:hAnsi="Times New Roman" w:cs="Times New Roman"/>
                <w:color w:val="000000"/>
              </w:rPr>
              <w:t>36</w:t>
            </w:r>
          </w:p>
        </w:tc>
        <w:tc>
          <w:tcPr>
            <w:tcW w:w="1326" w:type="pct"/>
            <w:gridSpan w:val="2"/>
            <w:vMerge w:val="restart"/>
            <w:noWrap/>
          </w:tcPr>
          <w:p w14:paraId="47FC686A" w14:textId="5FE81BDF" w:rsidR="008B293B" w:rsidRPr="005C429C" w:rsidRDefault="008B293B" w:rsidP="005C429C">
            <w:pPr>
              <w:jc w:val="both"/>
              <w:rPr>
                <w:rFonts w:ascii="Times New Roman" w:hAnsi="Times New Roman" w:cs="Times New Roman"/>
              </w:rPr>
            </w:pPr>
            <w:r w:rsidRPr="005C429C">
              <w:rPr>
                <w:rFonts w:ascii="Times New Roman" w:hAnsi="Times New Roman" w:cs="Times New Roman"/>
              </w:rPr>
              <w:t>mild to moderate AD</w:t>
            </w:r>
          </w:p>
        </w:tc>
      </w:tr>
      <w:tr w:rsidR="00241C9A" w:rsidRPr="005C429C" w14:paraId="0BC76707" w14:textId="77777777" w:rsidTr="008B293B">
        <w:trPr>
          <w:trHeight w:val="284"/>
        </w:trPr>
        <w:tc>
          <w:tcPr>
            <w:tcW w:w="542" w:type="pct"/>
            <w:vMerge/>
            <w:noWrap/>
            <w:vAlign w:val="center"/>
          </w:tcPr>
          <w:p w14:paraId="2D61D30E" w14:textId="6F6DAEEF" w:rsidR="008B293B" w:rsidRPr="005C429C" w:rsidRDefault="008B293B" w:rsidP="005C429C">
            <w:pPr>
              <w:jc w:val="both"/>
              <w:rPr>
                <w:rFonts w:ascii="Times New Roman" w:hAnsi="Times New Roman" w:cs="Times New Roman"/>
              </w:rPr>
            </w:pPr>
          </w:p>
        </w:tc>
        <w:tc>
          <w:tcPr>
            <w:tcW w:w="551" w:type="pct"/>
            <w:vMerge/>
            <w:noWrap/>
            <w:vAlign w:val="center"/>
          </w:tcPr>
          <w:p w14:paraId="1CEA7AFC" w14:textId="4C2B49B0" w:rsidR="008B293B" w:rsidRPr="005C429C" w:rsidRDefault="008B293B" w:rsidP="005C429C">
            <w:pPr>
              <w:jc w:val="both"/>
              <w:rPr>
                <w:rFonts w:ascii="Times New Roman" w:hAnsi="Times New Roman" w:cs="Times New Roman"/>
              </w:rPr>
            </w:pPr>
          </w:p>
        </w:tc>
        <w:tc>
          <w:tcPr>
            <w:tcW w:w="396" w:type="pct"/>
            <w:vMerge/>
            <w:noWrap/>
            <w:vAlign w:val="bottom"/>
          </w:tcPr>
          <w:p w14:paraId="6A7CD72F" w14:textId="1F8C6AD4" w:rsidR="008B293B" w:rsidRPr="005C429C" w:rsidRDefault="008B293B" w:rsidP="005C429C">
            <w:pPr>
              <w:jc w:val="both"/>
              <w:rPr>
                <w:rFonts w:ascii="Times New Roman" w:hAnsi="Times New Roman" w:cs="Times New Roman"/>
              </w:rPr>
            </w:pPr>
          </w:p>
        </w:tc>
        <w:tc>
          <w:tcPr>
            <w:tcW w:w="421" w:type="pct"/>
            <w:vMerge/>
            <w:noWrap/>
            <w:vAlign w:val="center"/>
          </w:tcPr>
          <w:p w14:paraId="52580468" w14:textId="60BD35D5" w:rsidR="008B293B" w:rsidRPr="005C429C" w:rsidRDefault="008B293B" w:rsidP="005C429C">
            <w:pPr>
              <w:jc w:val="both"/>
              <w:rPr>
                <w:rFonts w:ascii="Times New Roman" w:hAnsi="Times New Roman" w:cs="Times New Roman"/>
              </w:rPr>
            </w:pPr>
          </w:p>
        </w:tc>
        <w:tc>
          <w:tcPr>
            <w:tcW w:w="1248" w:type="pct"/>
            <w:noWrap/>
            <w:vAlign w:val="bottom"/>
          </w:tcPr>
          <w:p w14:paraId="15ADFDEC" w14:textId="70581896" w:rsidR="008B293B" w:rsidRPr="005C429C" w:rsidRDefault="008B293B" w:rsidP="005C429C">
            <w:pPr>
              <w:jc w:val="both"/>
              <w:rPr>
                <w:rFonts w:ascii="Times New Roman" w:hAnsi="Times New Roman" w:cs="Times New Roman"/>
              </w:rPr>
            </w:pPr>
            <w:r w:rsidRPr="005C429C">
              <w:rPr>
                <w:rFonts w:ascii="Times New Roman" w:hAnsi="Times New Roman" w:cs="Times New Roman"/>
                <w:color w:val="000000"/>
              </w:rPr>
              <w:t>2 mg/month</w:t>
            </w:r>
          </w:p>
        </w:tc>
        <w:tc>
          <w:tcPr>
            <w:tcW w:w="516" w:type="pct"/>
            <w:noWrap/>
            <w:vAlign w:val="bottom"/>
          </w:tcPr>
          <w:p w14:paraId="4EF30F0A" w14:textId="7EB41BB0" w:rsidR="008B293B" w:rsidRPr="005C429C" w:rsidRDefault="008B293B" w:rsidP="005C429C">
            <w:pPr>
              <w:jc w:val="both"/>
              <w:rPr>
                <w:rFonts w:ascii="Times New Roman" w:hAnsi="Times New Roman" w:cs="Times New Roman"/>
              </w:rPr>
            </w:pPr>
            <w:r w:rsidRPr="005C429C">
              <w:rPr>
                <w:rFonts w:ascii="Times New Roman" w:hAnsi="Times New Roman" w:cs="Times New Roman"/>
                <w:color w:val="000000"/>
              </w:rPr>
              <w:t>37</w:t>
            </w:r>
          </w:p>
        </w:tc>
        <w:tc>
          <w:tcPr>
            <w:tcW w:w="1326" w:type="pct"/>
            <w:gridSpan w:val="2"/>
            <w:vMerge/>
            <w:noWrap/>
          </w:tcPr>
          <w:p w14:paraId="3215DCE1" w14:textId="77777777" w:rsidR="008B293B" w:rsidRPr="005C429C" w:rsidRDefault="008B293B" w:rsidP="005C429C">
            <w:pPr>
              <w:jc w:val="both"/>
              <w:rPr>
                <w:rFonts w:ascii="Times New Roman" w:hAnsi="Times New Roman" w:cs="Times New Roman"/>
              </w:rPr>
            </w:pPr>
          </w:p>
        </w:tc>
      </w:tr>
      <w:tr w:rsidR="00241C9A" w:rsidRPr="005C429C" w14:paraId="2A382259" w14:textId="77777777" w:rsidTr="008B293B">
        <w:trPr>
          <w:trHeight w:val="284"/>
        </w:trPr>
        <w:tc>
          <w:tcPr>
            <w:tcW w:w="542" w:type="pct"/>
            <w:vMerge/>
            <w:noWrap/>
            <w:vAlign w:val="center"/>
          </w:tcPr>
          <w:p w14:paraId="24D18C06" w14:textId="33CB34BC" w:rsidR="008B293B" w:rsidRPr="005C429C" w:rsidRDefault="008B293B" w:rsidP="005C429C">
            <w:pPr>
              <w:jc w:val="both"/>
              <w:rPr>
                <w:rFonts w:ascii="Times New Roman" w:hAnsi="Times New Roman" w:cs="Times New Roman"/>
              </w:rPr>
            </w:pPr>
          </w:p>
        </w:tc>
        <w:tc>
          <w:tcPr>
            <w:tcW w:w="551" w:type="pct"/>
            <w:vMerge/>
            <w:noWrap/>
            <w:vAlign w:val="center"/>
          </w:tcPr>
          <w:p w14:paraId="15F57F40" w14:textId="7B04540D" w:rsidR="008B293B" w:rsidRPr="005C429C" w:rsidRDefault="008B293B" w:rsidP="005C429C">
            <w:pPr>
              <w:jc w:val="both"/>
              <w:rPr>
                <w:rFonts w:ascii="Times New Roman" w:hAnsi="Times New Roman" w:cs="Times New Roman"/>
              </w:rPr>
            </w:pPr>
          </w:p>
        </w:tc>
        <w:tc>
          <w:tcPr>
            <w:tcW w:w="396" w:type="pct"/>
            <w:vMerge/>
            <w:noWrap/>
            <w:vAlign w:val="bottom"/>
          </w:tcPr>
          <w:p w14:paraId="061F6F27" w14:textId="2C077642" w:rsidR="008B293B" w:rsidRPr="005C429C" w:rsidRDefault="008B293B" w:rsidP="005C429C">
            <w:pPr>
              <w:jc w:val="both"/>
              <w:rPr>
                <w:rFonts w:ascii="Times New Roman" w:hAnsi="Times New Roman" w:cs="Times New Roman"/>
              </w:rPr>
            </w:pPr>
          </w:p>
        </w:tc>
        <w:tc>
          <w:tcPr>
            <w:tcW w:w="421" w:type="pct"/>
            <w:vMerge/>
            <w:noWrap/>
            <w:vAlign w:val="center"/>
          </w:tcPr>
          <w:p w14:paraId="7EF7E7C8" w14:textId="2B1AC8A8" w:rsidR="008B293B" w:rsidRPr="005C429C" w:rsidRDefault="008B293B" w:rsidP="005C429C">
            <w:pPr>
              <w:jc w:val="both"/>
              <w:rPr>
                <w:rFonts w:ascii="Times New Roman" w:hAnsi="Times New Roman" w:cs="Times New Roman"/>
              </w:rPr>
            </w:pPr>
          </w:p>
        </w:tc>
        <w:tc>
          <w:tcPr>
            <w:tcW w:w="1248" w:type="pct"/>
            <w:noWrap/>
            <w:vAlign w:val="bottom"/>
          </w:tcPr>
          <w:p w14:paraId="0783E1D7" w14:textId="570FAFB8" w:rsidR="008B293B" w:rsidRPr="005C429C" w:rsidRDefault="008B293B" w:rsidP="005C429C">
            <w:pPr>
              <w:jc w:val="both"/>
              <w:rPr>
                <w:rFonts w:ascii="Times New Roman" w:hAnsi="Times New Roman" w:cs="Times New Roman"/>
              </w:rPr>
            </w:pPr>
            <w:r w:rsidRPr="005C429C">
              <w:rPr>
                <w:rFonts w:ascii="Times New Roman" w:hAnsi="Times New Roman" w:cs="Times New Roman"/>
                <w:color w:val="000000"/>
              </w:rPr>
              <w:t>7 mg/month</w:t>
            </w:r>
          </w:p>
        </w:tc>
        <w:tc>
          <w:tcPr>
            <w:tcW w:w="516" w:type="pct"/>
            <w:noWrap/>
            <w:vAlign w:val="bottom"/>
          </w:tcPr>
          <w:p w14:paraId="697BA415" w14:textId="0FD50395" w:rsidR="008B293B" w:rsidRPr="005C429C" w:rsidRDefault="008B293B" w:rsidP="005C429C">
            <w:pPr>
              <w:jc w:val="both"/>
              <w:rPr>
                <w:rFonts w:ascii="Times New Roman" w:hAnsi="Times New Roman" w:cs="Times New Roman"/>
              </w:rPr>
            </w:pPr>
            <w:r w:rsidRPr="005C429C">
              <w:rPr>
                <w:rFonts w:ascii="Times New Roman" w:hAnsi="Times New Roman" w:cs="Times New Roman"/>
                <w:color w:val="000000"/>
              </w:rPr>
              <w:t>36</w:t>
            </w:r>
          </w:p>
        </w:tc>
        <w:tc>
          <w:tcPr>
            <w:tcW w:w="1326" w:type="pct"/>
            <w:gridSpan w:val="2"/>
            <w:vMerge/>
            <w:noWrap/>
          </w:tcPr>
          <w:p w14:paraId="4B0C196C" w14:textId="77777777" w:rsidR="008B293B" w:rsidRPr="005C429C" w:rsidRDefault="008B293B" w:rsidP="005C429C">
            <w:pPr>
              <w:jc w:val="both"/>
              <w:rPr>
                <w:rFonts w:ascii="Times New Roman" w:hAnsi="Times New Roman" w:cs="Times New Roman"/>
              </w:rPr>
            </w:pPr>
          </w:p>
        </w:tc>
      </w:tr>
      <w:tr w:rsidR="00241C9A" w:rsidRPr="005C429C" w14:paraId="3967CD4C" w14:textId="77777777" w:rsidTr="008B293B">
        <w:trPr>
          <w:trHeight w:val="284"/>
        </w:trPr>
        <w:tc>
          <w:tcPr>
            <w:tcW w:w="542" w:type="pct"/>
            <w:vMerge/>
            <w:noWrap/>
            <w:vAlign w:val="center"/>
          </w:tcPr>
          <w:p w14:paraId="2D95BE1E" w14:textId="3AC04A15" w:rsidR="008B293B" w:rsidRPr="005C429C" w:rsidRDefault="008B293B" w:rsidP="005C429C">
            <w:pPr>
              <w:jc w:val="both"/>
              <w:rPr>
                <w:rFonts w:ascii="Times New Roman" w:hAnsi="Times New Roman" w:cs="Times New Roman"/>
              </w:rPr>
            </w:pPr>
          </w:p>
        </w:tc>
        <w:tc>
          <w:tcPr>
            <w:tcW w:w="551" w:type="pct"/>
            <w:vMerge/>
            <w:noWrap/>
            <w:vAlign w:val="center"/>
          </w:tcPr>
          <w:p w14:paraId="64AB633B" w14:textId="50FDC794" w:rsidR="008B293B" w:rsidRPr="005C429C" w:rsidRDefault="008B293B" w:rsidP="005C429C">
            <w:pPr>
              <w:jc w:val="both"/>
              <w:rPr>
                <w:rFonts w:ascii="Times New Roman" w:hAnsi="Times New Roman" w:cs="Times New Roman"/>
              </w:rPr>
            </w:pPr>
          </w:p>
        </w:tc>
        <w:tc>
          <w:tcPr>
            <w:tcW w:w="396" w:type="pct"/>
            <w:vMerge/>
            <w:noWrap/>
            <w:vAlign w:val="bottom"/>
          </w:tcPr>
          <w:p w14:paraId="1E0AC293" w14:textId="009B245A" w:rsidR="008B293B" w:rsidRPr="005C429C" w:rsidRDefault="008B293B" w:rsidP="005C429C">
            <w:pPr>
              <w:jc w:val="both"/>
              <w:rPr>
                <w:rFonts w:ascii="Times New Roman" w:hAnsi="Times New Roman" w:cs="Times New Roman"/>
              </w:rPr>
            </w:pPr>
          </w:p>
        </w:tc>
        <w:tc>
          <w:tcPr>
            <w:tcW w:w="421" w:type="pct"/>
            <w:vMerge/>
            <w:noWrap/>
            <w:vAlign w:val="center"/>
          </w:tcPr>
          <w:p w14:paraId="1DD749B6" w14:textId="7A52E0C0" w:rsidR="008B293B" w:rsidRPr="005C429C" w:rsidRDefault="008B293B" w:rsidP="005C429C">
            <w:pPr>
              <w:jc w:val="both"/>
              <w:rPr>
                <w:rFonts w:ascii="Times New Roman" w:hAnsi="Times New Roman" w:cs="Times New Roman"/>
              </w:rPr>
            </w:pPr>
          </w:p>
        </w:tc>
        <w:tc>
          <w:tcPr>
            <w:tcW w:w="1248" w:type="pct"/>
            <w:noWrap/>
            <w:vAlign w:val="bottom"/>
          </w:tcPr>
          <w:p w14:paraId="67338975" w14:textId="4C4F2F0B" w:rsidR="008B293B" w:rsidRPr="005C429C" w:rsidRDefault="008B293B" w:rsidP="005C429C">
            <w:pPr>
              <w:jc w:val="both"/>
              <w:rPr>
                <w:rFonts w:ascii="Times New Roman" w:hAnsi="Times New Roman" w:cs="Times New Roman"/>
              </w:rPr>
            </w:pPr>
            <w:r w:rsidRPr="005C429C">
              <w:rPr>
                <w:rFonts w:ascii="Times New Roman" w:hAnsi="Times New Roman" w:cs="Times New Roman"/>
                <w:color w:val="000000"/>
              </w:rPr>
              <w:t>20 mg/month</w:t>
            </w:r>
          </w:p>
        </w:tc>
        <w:tc>
          <w:tcPr>
            <w:tcW w:w="516" w:type="pct"/>
            <w:noWrap/>
            <w:vAlign w:val="bottom"/>
          </w:tcPr>
          <w:p w14:paraId="3F2D2C24" w14:textId="14CC8893" w:rsidR="008B293B" w:rsidRPr="005C429C" w:rsidRDefault="008B293B" w:rsidP="005C429C">
            <w:pPr>
              <w:jc w:val="both"/>
              <w:rPr>
                <w:rFonts w:ascii="Times New Roman" w:hAnsi="Times New Roman" w:cs="Times New Roman"/>
              </w:rPr>
            </w:pPr>
            <w:r w:rsidRPr="005C429C">
              <w:rPr>
                <w:rFonts w:ascii="Times New Roman" w:hAnsi="Times New Roman" w:cs="Times New Roman"/>
                <w:color w:val="000000"/>
              </w:rPr>
              <w:t>37</w:t>
            </w:r>
          </w:p>
        </w:tc>
        <w:tc>
          <w:tcPr>
            <w:tcW w:w="1326" w:type="pct"/>
            <w:gridSpan w:val="2"/>
            <w:vMerge/>
            <w:noWrap/>
          </w:tcPr>
          <w:p w14:paraId="6A96E1F8" w14:textId="77777777" w:rsidR="008B293B" w:rsidRPr="005C429C" w:rsidRDefault="008B293B" w:rsidP="005C429C">
            <w:pPr>
              <w:jc w:val="both"/>
              <w:rPr>
                <w:rFonts w:ascii="Times New Roman" w:hAnsi="Times New Roman" w:cs="Times New Roman"/>
              </w:rPr>
            </w:pPr>
          </w:p>
        </w:tc>
      </w:tr>
      <w:tr w:rsidR="00241C9A" w:rsidRPr="005C429C" w14:paraId="314797F9" w14:textId="77777777" w:rsidTr="008B293B">
        <w:trPr>
          <w:trHeight w:val="284"/>
        </w:trPr>
        <w:tc>
          <w:tcPr>
            <w:tcW w:w="542" w:type="pct"/>
            <w:vMerge w:val="restart"/>
            <w:noWrap/>
            <w:vAlign w:val="center"/>
          </w:tcPr>
          <w:p w14:paraId="15E17375" w14:textId="5D3793AA" w:rsidR="005C429C" w:rsidRPr="005C429C" w:rsidRDefault="005C429C" w:rsidP="00241C9A">
            <w:pPr>
              <w:jc w:val="both"/>
              <w:rPr>
                <w:rFonts w:ascii="Times New Roman" w:hAnsi="Times New Roman" w:cs="Times New Roman"/>
              </w:rPr>
            </w:pPr>
            <w:r w:rsidRPr="005C429C">
              <w:rPr>
                <w:rFonts w:ascii="Times New Roman" w:hAnsi="Times New Roman" w:cs="Times New Roman"/>
                <w:color w:val="000000"/>
              </w:rPr>
              <w:t>BLAZE </w:t>
            </w:r>
          </w:p>
        </w:tc>
        <w:tc>
          <w:tcPr>
            <w:tcW w:w="551" w:type="pct"/>
            <w:vMerge w:val="restart"/>
            <w:noWrap/>
            <w:vAlign w:val="center"/>
          </w:tcPr>
          <w:p w14:paraId="05170EE6" w14:textId="5E120AA9" w:rsidR="005C429C" w:rsidRPr="005C429C" w:rsidRDefault="005C429C" w:rsidP="00241C9A">
            <w:pPr>
              <w:jc w:val="both"/>
              <w:rPr>
                <w:rFonts w:ascii="Times New Roman" w:hAnsi="Times New Roman" w:cs="Times New Roman"/>
              </w:rPr>
            </w:pPr>
            <w:r w:rsidRPr="005C429C">
              <w:rPr>
                <w:rFonts w:ascii="Times New Roman" w:hAnsi="Times New Roman" w:cs="Times New Roman"/>
                <w:color w:val="000000"/>
              </w:rPr>
              <w:t>NCT01397578</w:t>
            </w:r>
          </w:p>
        </w:tc>
        <w:tc>
          <w:tcPr>
            <w:tcW w:w="396" w:type="pct"/>
            <w:vMerge w:val="restart"/>
            <w:noWrap/>
            <w:vAlign w:val="bottom"/>
          </w:tcPr>
          <w:p w14:paraId="60A3344A" w14:textId="6DD300DF" w:rsidR="005C429C" w:rsidRPr="005C429C" w:rsidRDefault="005C429C" w:rsidP="00241C9A">
            <w:pPr>
              <w:jc w:val="both"/>
              <w:rPr>
                <w:rFonts w:ascii="Times New Roman" w:hAnsi="Times New Roman" w:cs="Times New Roman"/>
              </w:rPr>
            </w:pPr>
            <w:r w:rsidRPr="005C429C">
              <w:rPr>
                <w:rFonts w:ascii="Times New Roman" w:hAnsi="Times New Roman" w:cs="Times New Roman"/>
                <w:color w:val="171716"/>
              </w:rPr>
              <w:t>Crenezumab</w:t>
            </w:r>
          </w:p>
        </w:tc>
        <w:tc>
          <w:tcPr>
            <w:tcW w:w="421" w:type="pct"/>
            <w:vMerge w:val="restart"/>
            <w:noWrap/>
            <w:vAlign w:val="center"/>
          </w:tcPr>
          <w:p w14:paraId="7019F790" w14:textId="752FDD8B" w:rsidR="005C429C" w:rsidRPr="005C429C" w:rsidRDefault="005C429C" w:rsidP="00241C9A">
            <w:pPr>
              <w:jc w:val="both"/>
              <w:rPr>
                <w:rFonts w:ascii="Times New Roman" w:hAnsi="Times New Roman" w:cs="Times New Roman"/>
              </w:rPr>
            </w:pPr>
            <w:r w:rsidRPr="005C429C">
              <w:rPr>
                <w:rFonts w:ascii="Times New Roman" w:hAnsi="Times New Roman" w:cs="Times New Roman"/>
                <w:color w:val="000000"/>
              </w:rPr>
              <w:t>68 weeks </w:t>
            </w:r>
          </w:p>
        </w:tc>
        <w:tc>
          <w:tcPr>
            <w:tcW w:w="1248" w:type="pct"/>
            <w:noWrap/>
            <w:vAlign w:val="bottom"/>
          </w:tcPr>
          <w:p w14:paraId="2F3B32BE" w14:textId="3F521ECF" w:rsidR="005C429C" w:rsidRPr="005C429C" w:rsidRDefault="005C429C" w:rsidP="005C429C">
            <w:pPr>
              <w:jc w:val="both"/>
              <w:rPr>
                <w:rFonts w:ascii="Times New Roman" w:hAnsi="Times New Roman" w:cs="Times New Roman"/>
              </w:rPr>
            </w:pPr>
            <w:r w:rsidRPr="005C429C">
              <w:rPr>
                <w:rFonts w:ascii="Times New Roman" w:hAnsi="Times New Roman" w:cs="Times New Roman"/>
                <w:color w:val="000000"/>
              </w:rPr>
              <w:t>Placebo</w:t>
            </w:r>
          </w:p>
        </w:tc>
        <w:tc>
          <w:tcPr>
            <w:tcW w:w="516" w:type="pct"/>
            <w:noWrap/>
            <w:vAlign w:val="bottom"/>
          </w:tcPr>
          <w:p w14:paraId="0D167E5D" w14:textId="4C74D3E0" w:rsidR="005C429C" w:rsidRPr="005C429C" w:rsidRDefault="005C429C" w:rsidP="005C429C">
            <w:pPr>
              <w:jc w:val="both"/>
              <w:rPr>
                <w:rFonts w:ascii="Times New Roman" w:hAnsi="Times New Roman" w:cs="Times New Roman"/>
              </w:rPr>
            </w:pPr>
            <w:r w:rsidRPr="005C429C">
              <w:rPr>
                <w:rFonts w:ascii="Times New Roman" w:hAnsi="Times New Roman" w:cs="Times New Roman"/>
                <w:color w:val="000000"/>
              </w:rPr>
              <w:t>13</w:t>
            </w:r>
          </w:p>
        </w:tc>
        <w:tc>
          <w:tcPr>
            <w:tcW w:w="1326" w:type="pct"/>
            <w:gridSpan w:val="2"/>
            <w:vMerge w:val="restart"/>
            <w:noWrap/>
          </w:tcPr>
          <w:p w14:paraId="4E0F0535" w14:textId="7AB29BEE" w:rsidR="005C429C" w:rsidRPr="005C429C" w:rsidRDefault="005C429C" w:rsidP="005C429C">
            <w:pPr>
              <w:jc w:val="both"/>
              <w:rPr>
                <w:rFonts w:ascii="Times New Roman" w:hAnsi="Times New Roman" w:cs="Times New Roman"/>
              </w:rPr>
            </w:pPr>
            <w:r w:rsidRPr="005C429C">
              <w:rPr>
                <w:rFonts w:ascii="Times New Roman" w:hAnsi="Times New Roman" w:cs="Times New Roman"/>
              </w:rPr>
              <w:t>mild to moderate AD</w:t>
            </w:r>
          </w:p>
        </w:tc>
      </w:tr>
      <w:tr w:rsidR="00241C9A" w:rsidRPr="005C429C" w14:paraId="649212E4" w14:textId="77777777" w:rsidTr="008B293B">
        <w:trPr>
          <w:trHeight w:val="284"/>
        </w:trPr>
        <w:tc>
          <w:tcPr>
            <w:tcW w:w="542" w:type="pct"/>
            <w:vMerge/>
            <w:noWrap/>
            <w:vAlign w:val="center"/>
          </w:tcPr>
          <w:p w14:paraId="5A26B89F" w14:textId="64BBC832" w:rsidR="005C429C" w:rsidRPr="005C429C" w:rsidRDefault="005C429C" w:rsidP="005C429C">
            <w:pPr>
              <w:jc w:val="both"/>
              <w:rPr>
                <w:rFonts w:ascii="Times New Roman" w:hAnsi="Times New Roman" w:cs="Times New Roman"/>
              </w:rPr>
            </w:pPr>
          </w:p>
        </w:tc>
        <w:tc>
          <w:tcPr>
            <w:tcW w:w="551" w:type="pct"/>
            <w:vMerge/>
            <w:noWrap/>
            <w:vAlign w:val="center"/>
          </w:tcPr>
          <w:p w14:paraId="1A859749" w14:textId="17157A05" w:rsidR="005C429C" w:rsidRPr="005C429C" w:rsidRDefault="005C429C" w:rsidP="005C429C">
            <w:pPr>
              <w:jc w:val="both"/>
              <w:rPr>
                <w:rFonts w:ascii="Times New Roman" w:hAnsi="Times New Roman" w:cs="Times New Roman"/>
              </w:rPr>
            </w:pPr>
          </w:p>
        </w:tc>
        <w:tc>
          <w:tcPr>
            <w:tcW w:w="396" w:type="pct"/>
            <w:vMerge/>
            <w:noWrap/>
            <w:vAlign w:val="bottom"/>
          </w:tcPr>
          <w:p w14:paraId="12099819" w14:textId="46346B25" w:rsidR="005C429C" w:rsidRPr="005C429C" w:rsidRDefault="005C429C" w:rsidP="005C429C">
            <w:pPr>
              <w:jc w:val="both"/>
              <w:rPr>
                <w:rFonts w:ascii="Times New Roman" w:hAnsi="Times New Roman" w:cs="Times New Roman"/>
              </w:rPr>
            </w:pPr>
          </w:p>
        </w:tc>
        <w:tc>
          <w:tcPr>
            <w:tcW w:w="421" w:type="pct"/>
            <w:vMerge/>
            <w:noWrap/>
            <w:vAlign w:val="center"/>
          </w:tcPr>
          <w:p w14:paraId="151CC2FD" w14:textId="3B5BC87E" w:rsidR="005C429C" w:rsidRPr="005C429C" w:rsidRDefault="005C429C" w:rsidP="005C429C">
            <w:pPr>
              <w:jc w:val="both"/>
              <w:rPr>
                <w:rFonts w:ascii="Times New Roman" w:hAnsi="Times New Roman" w:cs="Times New Roman"/>
              </w:rPr>
            </w:pPr>
          </w:p>
        </w:tc>
        <w:tc>
          <w:tcPr>
            <w:tcW w:w="1248" w:type="pct"/>
            <w:noWrap/>
            <w:vAlign w:val="bottom"/>
          </w:tcPr>
          <w:p w14:paraId="0B711777" w14:textId="5C0D76D0" w:rsidR="005C429C" w:rsidRPr="005C429C" w:rsidRDefault="005C429C" w:rsidP="005C429C">
            <w:pPr>
              <w:jc w:val="both"/>
              <w:rPr>
                <w:rFonts w:ascii="Times New Roman" w:hAnsi="Times New Roman" w:cs="Times New Roman"/>
              </w:rPr>
            </w:pPr>
            <w:r w:rsidRPr="005C429C">
              <w:rPr>
                <w:rFonts w:ascii="Times New Roman" w:hAnsi="Times New Roman" w:cs="Times New Roman"/>
                <w:color w:val="000000"/>
              </w:rPr>
              <w:t>300 mg</w:t>
            </w:r>
          </w:p>
        </w:tc>
        <w:tc>
          <w:tcPr>
            <w:tcW w:w="516" w:type="pct"/>
            <w:noWrap/>
            <w:vAlign w:val="bottom"/>
          </w:tcPr>
          <w:p w14:paraId="0C9DE283" w14:textId="0B93E4AE" w:rsidR="005C429C" w:rsidRPr="005C429C" w:rsidRDefault="005C429C" w:rsidP="005C429C">
            <w:pPr>
              <w:jc w:val="both"/>
              <w:rPr>
                <w:rFonts w:ascii="Times New Roman" w:hAnsi="Times New Roman" w:cs="Times New Roman"/>
              </w:rPr>
            </w:pPr>
            <w:r w:rsidRPr="005C429C">
              <w:rPr>
                <w:rFonts w:ascii="Times New Roman" w:hAnsi="Times New Roman" w:cs="Times New Roman"/>
                <w:color w:val="000000"/>
              </w:rPr>
              <w:t>26</w:t>
            </w:r>
          </w:p>
        </w:tc>
        <w:tc>
          <w:tcPr>
            <w:tcW w:w="1326" w:type="pct"/>
            <w:gridSpan w:val="2"/>
            <w:vMerge/>
            <w:noWrap/>
          </w:tcPr>
          <w:p w14:paraId="578D58BC" w14:textId="77777777" w:rsidR="005C429C" w:rsidRPr="005C429C" w:rsidRDefault="005C429C" w:rsidP="005C429C">
            <w:pPr>
              <w:jc w:val="both"/>
              <w:rPr>
                <w:rFonts w:ascii="Times New Roman" w:hAnsi="Times New Roman" w:cs="Times New Roman"/>
              </w:rPr>
            </w:pPr>
          </w:p>
        </w:tc>
      </w:tr>
      <w:tr w:rsidR="00241C9A" w:rsidRPr="005C429C" w14:paraId="328BC058" w14:textId="77777777" w:rsidTr="008B293B">
        <w:trPr>
          <w:trHeight w:val="284"/>
        </w:trPr>
        <w:tc>
          <w:tcPr>
            <w:tcW w:w="542" w:type="pct"/>
            <w:vMerge w:val="restart"/>
            <w:noWrap/>
            <w:vAlign w:val="center"/>
          </w:tcPr>
          <w:p w14:paraId="7A67F1FF" w14:textId="0E012BF4" w:rsidR="005C429C" w:rsidRPr="005C429C" w:rsidRDefault="005C429C" w:rsidP="00241C9A">
            <w:pPr>
              <w:jc w:val="both"/>
              <w:rPr>
                <w:rFonts w:ascii="Times New Roman" w:hAnsi="Times New Roman" w:cs="Times New Roman"/>
              </w:rPr>
            </w:pPr>
            <w:r w:rsidRPr="005C429C">
              <w:rPr>
                <w:rFonts w:ascii="Times New Roman" w:hAnsi="Times New Roman" w:cs="Times New Roman"/>
                <w:color w:val="000000"/>
              </w:rPr>
              <w:t>BLAZE</w:t>
            </w:r>
          </w:p>
        </w:tc>
        <w:tc>
          <w:tcPr>
            <w:tcW w:w="551" w:type="pct"/>
            <w:vMerge w:val="restart"/>
            <w:noWrap/>
            <w:vAlign w:val="center"/>
          </w:tcPr>
          <w:p w14:paraId="00BBBF1F" w14:textId="0E84BC0E" w:rsidR="005C429C" w:rsidRPr="005C429C" w:rsidRDefault="005C429C" w:rsidP="00241C9A">
            <w:pPr>
              <w:jc w:val="both"/>
              <w:rPr>
                <w:rFonts w:ascii="Times New Roman" w:hAnsi="Times New Roman" w:cs="Times New Roman"/>
              </w:rPr>
            </w:pPr>
            <w:r w:rsidRPr="005C429C">
              <w:rPr>
                <w:rFonts w:ascii="Times New Roman" w:hAnsi="Times New Roman" w:cs="Times New Roman"/>
                <w:color w:val="000000"/>
              </w:rPr>
              <w:t>NCT0139757</w:t>
            </w:r>
            <w:r>
              <w:rPr>
                <w:rFonts w:ascii="Times New Roman" w:hAnsi="Times New Roman" w:cs="Times New Roman"/>
                <w:color w:val="000000"/>
              </w:rPr>
              <w:t>8</w:t>
            </w:r>
          </w:p>
        </w:tc>
        <w:tc>
          <w:tcPr>
            <w:tcW w:w="396" w:type="pct"/>
            <w:vMerge w:val="restart"/>
            <w:noWrap/>
            <w:vAlign w:val="bottom"/>
          </w:tcPr>
          <w:p w14:paraId="3D9FC8ED" w14:textId="34AA902D" w:rsidR="005C429C" w:rsidRPr="005C429C" w:rsidRDefault="005C429C" w:rsidP="00241C9A">
            <w:pPr>
              <w:jc w:val="both"/>
              <w:rPr>
                <w:rFonts w:ascii="Times New Roman" w:hAnsi="Times New Roman" w:cs="Times New Roman"/>
              </w:rPr>
            </w:pPr>
            <w:r w:rsidRPr="005C429C">
              <w:rPr>
                <w:rFonts w:ascii="Times New Roman" w:hAnsi="Times New Roman" w:cs="Times New Roman"/>
                <w:color w:val="171716"/>
              </w:rPr>
              <w:t>Crenezumab</w:t>
            </w:r>
          </w:p>
        </w:tc>
        <w:tc>
          <w:tcPr>
            <w:tcW w:w="421" w:type="pct"/>
            <w:vMerge w:val="restart"/>
            <w:noWrap/>
            <w:vAlign w:val="center"/>
          </w:tcPr>
          <w:p w14:paraId="35EBFC93" w14:textId="152F1AE3" w:rsidR="005C429C" w:rsidRPr="005C429C" w:rsidRDefault="005C429C" w:rsidP="00241C9A">
            <w:pPr>
              <w:jc w:val="both"/>
              <w:rPr>
                <w:rFonts w:ascii="Times New Roman" w:hAnsi="Times New Roman" w:cs="Times New Roman"/>
              </w:rPr>
            </w:pPr>
            <w:r w:rsidRPr="005C429C">
              <w:rPr>
                <w:rFonts w:ascii="Times New Roman" w:hAnsi="Times New Roman" w:cs="Times New Roman"/>
                <w:color w:val="000000"/>
              </w:rPr>
              <w:t>68 weeks </w:t>
            </w:r>
          </w:p>
        </w:tc>
        <w:tc>
          <w:tcPr>
            <w:tcW w:w="1248" w:type="pct"/>
            <w:noWrap/>
            <w:vAlign w:val="bottom"/>
          </w:tcPr>
          <w:p w14:paraId="3945557D" w14:textId="361190C5" w:rsidR="005C429C" w:rsidRPr="005C429C" w:rsidRDefault="005C429C" w:rsidP="005C429C">
            <w:pPr>
              <w:jc w:val="both"/>
              <w:rPr>
                <w:rFonts w:ascii="Times New Roman" w:hAnsi="Times New Roman" w:cs="Times New Roman"/>
              </w:rPr>
            </w:pPr>
            <w:r w:rsidRPr="005C429C">
              <w:rPr>
                <w:rFonts w:ascii="Times New Roman" w:hAnsi="Times New Roman" w:cs="Times New Roman"/>
                <w:color w:val="000000"/>
              </w:rPr>
              <w:t>Placebo</w:t>
            </w:r>
          </w:p>
        </w:tc>
        <w:tc>
          <w:tcPr>
            <w:tcW w:w="516" w:type="pct"/>
            <w:noWrap/>
            <w:vAlign w:val="bottom"/>
          </w:tcPr>
          <w:p w14:paraId="33ED7E31" w14:textId="5AEBAFEE" w:rsidR="005C429C" w:rsidRPr="005C429C" w:rsidRDefault="005C429C" w:rsidP="005C429C">
            <w:pPr>
              <w:jc w:val="both"/>
              <w:rPr>
                <w:rFonts w:ascii="Times New Roman" w:hAnsi="Times New Roman" w:cs="Times New Roman"/>
              </w:rPr>
            </w:pPr>
            <w:r w:rsidRPr="005C429C">
              <w:rPr>
                <w:rFonts w:ascii="Times New Roman" w:hAnsi="Times New Roman" w:cs="Times New Roman"/>
                <w:color w:val="000000"/>
              </w:rPr>
              <w:t>17</w:t>
            </w:r>
          </w:p>
        </w:tc>
        <w:tc>
          <w:tcPr>
            <w:tcW w:w="1326" w:type="pct"/>
            <w:gridSpan w:val="2"/>
            <w:vMerge w:val="restart"/>
            <w:noWrap/>
          </w:tcPr>
          <w:p w14:paraId="0E7B7D8A" w14:textId="6597FE72" w:rsidR="005C429C" w:rsidRPr="005C429C" w:rsidRDefault="005C429C" w:rsidP="005C429C">
            <w:pPr>
              <w:jc w:val="both"/>
              <w:rPr>
                <w:rFonts w:ascii="Times New Roman" w:hAnsi="Times New Roman" w:cs="Times New Roman"/>
              </w:rPr>
            </w:pPr>
            <w:r w:rsidRPr="005C429C">
              <w:rPr>
                <w:rFonts w:ascii="Times New Roman" w:hAnsi="Times New Roman" w:cs="Times New Roman"/>
              </w:rPr>
              <w:t>mild to moderate AD</w:t>
            </w:r>
          </w:p>
        </w:tc>
      </w:tr>
      <w:tr w:rsidR="00241C9A" w:rsidRPr="005C429C" w14:paraId="4290F594" w14:textId="77777777" w:rsidTr="008B293B">
        <w:trPr>
          <w:trHeight w:val="284"/>
        </w:trPr>
        <w:tc>
          <w:tcPr>
            <w:tcW w:w="542" w:type="pct"/>
            <w:vMerge/>
            <w:noWrap/>
            <w:vAlign w:val="center"/>
          </w:tcPr>
          <w:p w14:paraId="54110A34" w14:textId="71F11073" w:rsidR="005C429C" w:rsidRPr="005C429C" w:rsidRDefault="005C429C" w:rsidP="005C429C">
            <w:pPr>
              <w:jc w:val="both"/>
              <w:rPr>
                <w:rFonts w:ascii="Times New Roman" w:hAnsi="Times New Roman" w:cs="Times New Roman"/>
              </w:rPr>
            </w:pPr>
          </w:p>
        </w:tc>
        <w:tc>
          <w:tcPr>
            <w:tcW w:w="551" w:type="pct"/>
            <w:vMerge/>
            <w:noWrap/>
            <w:vAlign w:val="center"/>
          </w:tcPr>
          <w:p w14:paraId="2CC13F63" w14:textId="29EC42FD" w:rsidR="005C429C" w:rsidRPr="005C429C" w:rsidRDefault="005C429C" w:rsidP="005C429C">
            <w:pPr>
              <w:jc w:val="both"/>
              <w:rPr>
                <w:rFonts w:ascii="Times New Roman" w:hAnsi="Times New Roman" w:cs="Times New Roman"/>
              </w:rPr>
            </w:pPr>
          </w:p>
        </w:tc>
        <w:tc>
          <w:tcPr>
            <w:tcW w:w="396" w:type="pct"/>
            <w:vMerge/>
            <w:noWrap/>
            <w:vAlign w:val="bottom"/>
          </w:tcPr>
          <w:p w14:paraId="0CA99248" w14:textId="6201A4EA" w:rsidR="005C429C" w:rsidRPr="005C429C" w:rsidRDefault="005C429C" w:rsidP="005C429C">
            <w:pPr>
              <w:jc w:val="both"/>
              <w:rPr>
                <w:rFonts w:ascii="Times New Roman" w:hAnsi="Times New Roman" w:cs="Times New Roman"/>
              </w:rPr>
            </w:pPr>
          </w:p>
        </w:tc>
        <w:tc>
          <w:tcPr>
            <w:tcW w:w="421" w:type="pct"/>
            <w:vMerge/>
            <w:noWrap/>
            <w:vAlign w:val="center"/>
          </w:tcPr>
          <w:p w14:paraId="605D9B69" w14:textId="08FEB772" w:rsidR="005C429C" w:rsidRPr="005C429C" w:rsidRDefault="005C429C" w:rsidP="005C429C">
            <w:pPr>
              <w:jc w:val="both"/>
              <w:rPr>
                <w:rFonts w:ascii="Times New Roman" w:hAnsi="Times New Roman" w:cs="Times New Roman"/>
              </w:rPr>
            </w:pPr>
          </w:p>
        </w:tc>
        <w:tc>
          <w:tcPr>
            <w:tcW w:w="1248" w:type="pct"/>
            <w:noWrap/>
            <w:vAlign w:val="bottom"/>
          </w:tcPr>
          <w:p w14:paraId="02200163" w14:textId="39D98CA2" w:rsidR="005C429C" w:rsidRPr="005C429C" w:rsidRDefault="005C429C" w:rsidP="005C429C">
            <w:pPr>
              <w:jc w:val="both"/>
              <w:rPr>
                <w:rFonts w:ascii="Times New Roman" w:hAnsi="Times New Roman" w:cs="Times New Roman"/>
              </w:rPr>
            </w:pPr>
            <w:r w:rsidRPr="005C429C">
              <w:rPr>
                <w:rFonts w:ascii="Times New Roman" w:hAnsi="Times New Roman" w:cs="Times New Roman"/>
                <w:color w:val="000000"/>
              </w:rPr>
              <w:t>15 mg/kg</w:t>
            </w:r>
          </w:p>
        </w:tc>
        <w:tc>
          <w:tcPr>
            <w:tcW w:w="516" w:type="pct"/>
            <w:noWrap/>
            <w:vAlign w:val="bottom"/>
          </w:tcPr>
          <w:p w14:paraId="20E1D835" w14:textId="69F4EA7B" w:rsidR="005C429C" w:rsidRPr="005C429C" w:rsidRDefault="005C429C" w:rsidP="005C429C">
            <w:pPr>
              <w:jc w:val="both"/>
              <w:rPr>
                <w:rFonts w:ascii="Times New Roman" w:hAnsi="Times New Roman" w:cs="Times New Roman"/>
              </w:rPr>
            </w:pPr>
            <w:r w:rsidRPr="005C429C">
              <w:rPr>
                <w:rFonts w:ascii="Times New Roman" w:hAnsi="Times New Roman" w:cs="Times New Roman"/>
                <w:color w:val="000000"/>
              </w:rPr>
              <w:t>35</w:t>
            </w:r>
          </w:p>
        </w:tc>
        <w:tc>
          <w:tcPr>
            <w:tcW w:w="1326" w:type="pct"/>
            <w:gridSpan w:val="2"/>
            <w:vMerge/>
            <w:noWrap/>
          </w:tcPr>
          <w:p w14:paraId="39606860" w14:textId="77777777" w:rsidR="005C429C" w:rsidRPr="005C429C" w:rsidRDefault="005C429C" w:rsidP="005C429C">
            <w:pPr>
              <w:jc w:val="both"/>
              <w:rPr>
                <w:rFonts w:ascii="Times New Roman" w:hAnsi="Times New Roman" w:cs="Times New Roman"/>
              </w:rPr>
            </w:pPr>
          </w:p>
        </w:tc>
      </w:tr>
      <w:tr w:rsidR="00241C9A" w:rsidRPr="005C429C" w14:paraId="24B63267" w14:textId="77777777" w:rsidTr="008B293B">
        <w:trPr>
          <w:trHeight w:val="284"/>
        </w:trPr>
        <w:tc>
          <w:tcPr>
            <w:tcW w:w="542" w:type="pct"/>
            <w:vMerge w:val="restart"/>
            <w:noWrap/>
            <w:hideMark/>
          </w:tcPr>
          <w:p w14:paraId="584CCAF8" w14:textId="401440E7" w:rsidR="00FD60FD" w:rsidRPr="005C429C" w:rsidRDefault="00FD60FD" w:rsidP="00241C9A">
            <w:pPr>
              <w:jc w:val="both"/>
              <w:rPr>
                <w:rFonts w:ascii="Times New Roman" w:hAnsi="Times New Roman" w:cs="Times New Roman"/>
              </w:rPr>
            </w:pPr>
            <w:r w:rsidRPr="005C429C">
              <w:rPr>
                <w:rFonts w:ascii="Times New Roman" w:hAnsi="Times New Roman" w:cs="Times New Roman"/>
              </w:rPr>
              <w:t>CREAD</w:t>
            </w:r>
          </w:p>
        </w:tc>
        <w:tc>
          <w:tcPr>
            <w:tcW w:w="551" w:type="pct"/>
            <w:vMerge w:val="restart"/>
            <w:noWrap/>
            <w:hideMark/>
          </w:tcPr>
          <w:p w14:paraId="1513761F" w14:textId="4B2739FA" w:rsidR="00FD60FD" w:rsidRPr="005C429C" w:rsidRDefault="00FD60FD" w:rsidP="00241C9A">
            <w:pPr>
              <w:jc w:val="both"/>
              <w:rPr>
                <w:rFonts w:ascii="Times New Roman" w:hAnsi="Times New Roman" w:cs="Times New Roman"/>
              </w:rPr>
            </w:pPr>
            <w:r w:rsidRPr="005C429C">
              <w:rPr>
                <w:rFonts w:ascii="Times New Roman" w:hAnsi="Times New Roman" w:cs="Times New Roman"/>
              </w:rPr>
              <w:t>NCT02670083 </w:t>
            </w:r>
          </w:p>
        </w:tc>
        <w:tc>
          <w:tcPr>
            <w:tcW w:w="396" w:type="pct"/>
            <w:vMerge w:val="restart"/>
            <w:noWrap/>
            <w:hideMark/>
          </w:tcPr>
          <w:p w14:paraId="26A73790" w14:textId="7036ECB2" w:rsidR="00FD60FD" w:rsidRPr="005C429C" w:rsidRDefault="00FD60FD" w:rsidP="00241C9A">
            <w:pPr>
              <w:jc w:val="both"/>
              <w:rPr>
                <w:rFonts w:ascii="Times New Roman" w:hAnsi="Times New Roman" w:cs="Times New Roman"/>
              </w:rPr>
            </w:pPr>
            <w:r w:rsidRPr="005C429C">
              <w:rPr>
                <w:rFonts w:ascii="Times New Roman" w:hAnsi="Times New Roman" w:cs="Times New Roman"/>
              </w:rPr>
              <w:t>Crenezumab</w:t>
            </w:r>
          </w:p>
        </w:tc>
        <w:tc>
          <w:tcPr>
            <w:tcW w:w="421" w:type="pct"/>
            <w:vMerge w:val="restart"/>
            <w:noWrap/>
            <w:hideMark/>
          </w:tcPr>
          <w:p w14:paraId="7EDDBA6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100 weeks</w:t>
            </w:r>
          </w:p>
          <w:p w14:paraId="780B60E8" w14:textId="1B45AA70"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67919D1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5843678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409</w:t>
            </w:r>
          </w:p>
        </w:tc>
        <w:tc>
          <w:tcPr>
            <w:tcW w:w="950" w:type="pct"/>
            <w:noWrap/>
            <w:hideMark/>
          </w:tcPr>
          <w:p w14:paraId="2CE74B0F"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42.8</w:t>
            </w:r>
          </w:p>
        </w:tc>
        <w:tc>
          <w:tcPr>
            <w:tcW w:w="375" w:type="pct"/>
            <w:noWrap/>
            <w:hideMark/>
          </w:tcPr>
          <w:p w14:paraId="40374DF3"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57.2</w:t>
            </w:r>
          </w:p>
        </w:tc>
      </w:tr>
      <w:tr w:rsidR="00241C9A" w:rsidRPr="005C429C" w14:paraId="629044A6" w14:textId="77777777" w:rsidTr="008B293B">
        <w:trPr>
          <w:trHeight w:val="284"/>
        </w:trPr>
        <w:tc>
          <w:tcPr>
            <w:tcW w:w="542" w:type="pct"/>
            <w:vMerge/>
            <w:noWrap/>
            <w:hideMark/>
          </w:tcPr>
          <w:p w14:paraId="7CB86C0F" w14:textId="696442FF" w:rsidR="00FD60FD" w:rsidRPr="005C429C" w:rsidRDefault="00FD60FD" w:rsidP="00B63A86">
            <w:pPr>
              <w:jc w:val="both"/>
              <w:rPr>
                <w:rFonts w:ascii="Times New Roman" w:hAnsi="Times New Roman" w:cs="Times New Roman"/>
              </w:rPr>
            </w:pPr>
          </w:p>
        </w:tc>
        <w:tc>
          <w:tcPr>
            <w:tcW w:w="551" w:type="pct"/>
            <w:vMerge/>
            <w:noWrap/>
            <w:hideMark/>
          </w:tcPr>
          <w:p w14:paraId="4A168910" w14:textId="7E38E436" w:rsidR="00FD60FD" w:rsidRPr="005C429C" w:rsidRDefault="00FD60FD" w:rsidP="00B63A86">
            <w:pPr>
              <w:jc w:val="both"/>
              <w:rPr>
                <w:rFonts w:ascii="Times New Roman" w:hAnsi="Times New Roman" w:cs="Times New Roman"/>
              </w:rPr>
            </w:pPr>
          </w:p>
        </w:tc>
        <w:tc>
          <w:tcPr>
            <w:tcW w:w="396" w:type="pct"/>
            <w:vMerge/>
            <w:noWrap/>
            <w:hideMark/>
          </w:tcPr>
          <w:p w14:paraId="5D951057" w14:textId="063D696A" w:rsidR="00FD60FD" w:rsidRPr="005C429C" w:rsidRDefault="00FD60FD" w:rsidP="00B63A86">
            <w:pPr>
              <w:jc w:val="both"/>
              <w:rPr>
                <w:rFonts w:ascii="Times New Roman" w:hAnsi="Times New Roman" w:cs="Times New Roman"/>
              </w:rPr>
            </w:pPr>
          </w:p>
        </w:tc>
        <w:tc>
          <w:tcPr>
            <w:tcW w:w="421" w:type="pct"/>
            <w:vMerge/>
            <w:noWrap/>
            <w:hideMark/>
          </w:tcPr>
          <w:p w14:paraId="3AA0B82A" w14:textId="2C2E14B9" w:rsidR="00FD60FD" w:rsidRPr="005C429C" w:rsidRDefault="00FD60FD" w:rsidP="00B63A86">
            <w:pPr>
              <w:jc w:val="both"/>
              <w:rPr>
                <w:rFonts w:ascii="Times New Roman" w:hAnsi="Times New Roman" w:cs="Times New Roman"/>
              </w:rPr>
            </w:pPr>
          </w:p>
        </w:tc>
        <w:tc>
          <w:tcPr>
            <w:tcW w:w="1248" w:type="pct"/>
            <w:noWrap/>
            <w:hideMark/>
          </w:tcPr>
          <w:p w14:paraId="42C605F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60 mg/kg</w:t>
            </w:r>
          </w:p>
        </w:tc>
        <w:tc>
          <w:tcPr>
            <w:tcW w:w="516" w:type="pct"/>
            <w:noWrap/>
            <w:hideMark/>
          </w:tcPr>
          <w:p w14:paraId="41DEAA7E"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404</w:t>
            </w:r>
          </w:p>
        </w:tc>
        <w:tc>
          <w:tcPr>
            <w:tcW w:w="950" w:type="pct"/>
            <w:noWrap/>
            <w:hideMark/>
          </w:tcPr>
          <w:p w14:paraId="163F899B"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42.3</w:t>
            </w:r>
          </w:p>
        </w:tc>
        <w:tc>
          <w:tcPr>
            <w:tcW w:w="375" w:type="pct"/>
            <w:noWrap/>
            <w:hideMark/>
          </w:tcPr>
          <w:p w14:paraId="1E8EAD04"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57.7</w:t>
            </w:r>
          </w:p>
        </w:tc>
      </w:tr>
      <w:tr w:rsidR="00241C9A" w:rsidRPr="005C429C" w14:paraId="64C5A4CE" w14:textId="77777777" w:rsidTr="008B293B">
        <w:trPr>
          <w:trHeight w:val="284"/>
        </w:trPr>
        <w:tc>
          <w:tcPr>
            <w:tcW w:w="542" w:type="pct"/>
            <w:vMerge w:val="restart"/>
            <w:noWrap/>
            <w:hideMark/>
          </w:tcPr>
          <w:p w14:paraId="53A6781C" w14:textId="0977C7D1" w:rsidR="00FD60FD" w:rsidRPr="005C429C" w:rsidRDefault="00FD60FD" w:rsidP="00241C9A">
            <w:pPr>
              <w:jc w:val="both"/>
              <w:rPr>
                <w:rFonts w:ascii="Times New Roman" w:hAnsi="Times New Roman" w:cs="Times New Roman"/>
              </w:rPr>
            </w:pPr>
            <w:r w:rsidRPr="005C429C">
              <w:rPr>
                <w:rFonts w:ascii="Times New Roman" w:hAnsi="Times New Roman" w:cs="Times New Roman"/>
              </w:rPr>
              <w:t>CREAD2</w:t>
            </w:r>
          </w:p>
        </w:tc>
        <w:tc>
          <w:tcPr>
            <w:tcW w:w="551" w:type="pct"/>
            <w:vMerge w:val="restart"/>
            <w:noWrap/>
            <w:hideMark/>
          </w:tcPr>
          <w:p w14:paraId="345AA1EA" w14:textId="16418C92" w:rsidR="00FD60FD" w:rsidRPr="005C429C" w:rsidRDefault="00FD60FD" w:rsidP="00241C9A">
            <w:pPr>
              <w:jc w:val="both"/>
              <w:rPr>
                <w:rFonts w:ascii="Times New Roman" w:hAnsi="Times New Roman" w:cs="Times New Roman"/>
              </w:rPr>
            </w:pPr>
            <w:r w:rsidRPr="005C429C">
              <w:rPr>
                <w:rFonts w:ascii="Times New Roman" w:hAnsi="Times New Roman" w:cs="Times New Roman"/>
              </w:rPr>
              <w:t>NCT03114657</w:t>
            </w:r>
          </w:p>
        </w:tc>
        <w:tc>
          <w:tcPr>
            <w:tcW w:w="396" w:type="pct"/>
            <w:vMerge w:val="restart"/>
            <w:noWrap/>
            <w:hideMark/>
          </w:tcPr>
          <w:p w14:paraId="14025C63" w14:textId="6AD4659D" w:rsidR="00FD60FD" w:rsidRPr="005C429C" w:rsidRDefault="00FD60FD" w:rsidP="00241C9A">
            <w:pPr>
              <w:jc w:val="both"/>
              <w:rPr>
                <w:rFonts w:ascii="Times New Roman" w:hAnsi="Times New Roman" w:cs="Times New Roman"/>
              </w:rPr>
            </w:pPr>
            <w:r w:rsidRPr="005C429C">
              <w:rPr>
                <w:rFonts w:ascii="Times New Roman" w:hAnsi="Times New Roman" w:cs="Times New Roman"/>
              </w:rPr>
              <w:t>Crenezumab</w:t>
            </w:r>
          </w:p>
        </w:tc>
        <w:tc>
          <w:tcPr>
            <w:tcW w:w="421" w:type="pct"/>
            <w:vMerge w:val="restart"/>
            <w:noWrap/>
            <w:hideMark/>
          </w:tcPr>
          <w:p w14:paraId="551699E9"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100 weeks</w:t>
            </w:r>
          </w:p>
          <w:p w14:paraId="399EF54B" w14:textId="5F1B634C"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223501F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6699DBD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399</w:t>
            </w:r>
          </w:p>
        </w:tc>
        <w:tc>
          <w:tcPr>
            <w:tcW w:w="950" w:type="pct"/>
            <w:noWrap/>
            <w:hideMark/>
          </w:tcPr>
          <w:p w14:paraId="3792AE6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47.6</w:t>
            </w:r>
          </w:p>
        </w:tc>
        <w:tc>
          <w:tcPr>
            <w:tcW w:w="375" w:type="pct"/>
            <w:noWrap/>
            <w:hideMark/>
          </w:tcPr>
          <w:p w14:paraId="11397838"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52.4</w:t>
            </w:r>
          </w:p>
        </w:tc>
      </w:tr>
      <w:tr w:rsidR="00241C9A" w:rsidRPr="005C429C" w14:paraId="59597454" w14:textId="77777777" w:rsidTr="008B293B">
        <w:trPr>
          <w:trHeight w:val="284"/>
        </w:trPr>
        <w:tc>
          <w:tcPr>
            <w:tcW w:w="542" w:type="pct"/>
            <w:vMerge/>
            <w:noWrap/>
            <w:hideMark/>
          </w:tcPr>
          <w:p w14:paraId="0D504FFA" w14:textId="7FC5E5BA" w:rsidR="00FD60FD" w:rsidRPr="005C429C" w:rsidRDefault="00FD60FD" w:rsidP="00B63A86">
            <w:pPr>
              <w:jc w:val="both"/>
              <w:rPr>
                <w:rFonts w:ascii="Times New Roman" w:hAnsi="Times New Roman" w:cs="Times New Roman"/>
              </w:rPr>
            </w:pPr>
          </w:p>
        </w:tc>
        <w:tc>
          <w:tcPr>
            <w:tcW w:w="551" w:type="pct"/>
            <w:vMerge/>
            <w:noWrap/>
            <w:hideMark/>
          </w:tcPr>
          <w:p w14:paraId="5D18D4D4" w14:textId="459E4CDF" w:rsidR="00FD60FD" w:rsidRPr="005C429C" w:rsidRDefault="00FD60FD" w:rsidP="00B63A86">
            <w:pPr>
              <w:jc w:val="both"/>
              <w:rPr>
                <w:rFonts w:ascii="Times New Roman" w:hAnsi="Times New Roman" w:cs="Times New Roman"/>
              </w:rPr>
            </w:pPr>
          </w:p>
        </w:tc>
        <w:tc>
          <w:tcPr>
            <w:tcW w:w="396" w:type="pct"/>
            <w:vMerge/>
            <w:noWrap/>
            <w:hideMark/>
          </w:tcPr>
          <w:p w14:paraId="1CA9ACE6" w14:textId="1105470F" w:rsidR="00FD60FD" w:rsidRPr="005C429C" w:rsidRDefault="00FD60FD" w:rsidP="00B63A86">
            <w:pPr>
              <w:jc w:val="both"/>
              <w:rPr>
                <w:rFonts w:ascii="Times New Roman" w:hAnsi="Times New Roman" w:cs="Times New Roman"/>
              </w:rPr>
            </w:pPr>
          </w:p>
        </w:tc>
        <w:tc>
          <w:tcPr>
            <w:tcW w:w="421" w:type="pct"/>
            <w:vMerge/>
            <w:noWrap/>
            <w:hideMark/>
          </w:tcPr>
          <w:p w14:paraId="345AABE7" w14:textId="13483B46" w:rsidR="00FD60FD" w:rsidRPr="005C429C" w:rsidRDefault="00FD60FD" w:rsidP="00B63A86">
            <w:pPr>
              <w:jc w:val="both"/>
              <w:rPr>
                <w:rFonts w:ascii="Times New Roman" w:hAnsi="Times New Roman" w:cs="Times New Roman"/>
              </w:rPr>
            </w:pPr>
          </w:p>
        </w:tc>
        <w:tc>
          <w:tcPr>
            <w:tcW w:w="1248" w:type="pct"/>
            <w:noWrap/>
            <w:hideMark/>
          </w:tcPr>
          <w:p w14:paraId="1581872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60 mg/kg</w:t>
            </w:r>
          </w:p>
        </w:tc>
        <w:tc>
          <w:tcPr>
            <w:tcW w:w="516" w:type="pct"/>
            <w:noWrap/>
            <w:hideMark/>
          </w:tcPr>
          <w:p w14:paraId="252B7D0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407</w:t>
            </w:r>
          </w:p>
        </w:tc>
        <w:tc>
          <w:tcPr>
            <w:tcW w:w="950" w:type="pct"/>
            <w:noWrap/>
            <w:hideMark/>
          </w:tcPr>
          <w:p w14:paraId="10691BF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48.6</w:t>
            </w:r>
          </w:p>
        </w:tc>
        <w:tc>
          <w:tcPr>
            <w:tcW w:w="375" w:type="pct"/>
            <w:noWrap/>
            <w:hideMark/>
          </w:tcPr>
          <w:p w14:paraId="2B619337"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51.4</w:t>
            </w:r>
          </w:p>
        </w:tc>
      </w:tr>
      <w:tr w:rsidR="00241C9A" w:rsidRPr="005C429C" w14:paraId="28701EA9" w14:textId="77777777" w:rsidTr="008B293B">
        <w:trPr>
          <w:trHeight w:val="284"/>
        </w:trPr>
        <w:tc>
          <w:tcPr>
            <w:tcW w:w="542" w:type="pct"/>
            <w:vMerge w:val="restart"/>
            <w:noWrap/>
            <w:hideMark/>
          </w:tcPr>
          <w:p w14:paraId="57D0A211" w14:textId="354636DB" w:rsidR="00FD60FD" w:rsidRPr="005C429C" w:rsidRDefault="00FD60FD" w:rsidP="00FD60FD">
            <w:pPr>
              <w:jc w:val="both"/>
              <w:rPr>
                <w:rFonts w:ascii="Times New Roman" w:hAnsi="Times New Roman" w:cs="Times New Roman"/>
              </w:rPr>
            </w:pPr>
            <w:r w:rsidRPr="005C429C">
              <w:rPr>
                <w:rFonts w:ascii="Times New Roman" w:hAnsi="Times New Roman" w:cs="Times New Roman"/>
              </w:rPr>
              <w:t>EXPEDITION3</w:t>
            </w:r>
          </w:p>
        </w:tc>
        <w:tc>
          <w:tcPr>
            <w:tcW w:w="551" w:type="pct"/>
            <w:vMerge w:val="restart"/>
            <w:noWrap/>
            <w:hideMark/>
          </w:tcPr>
          <w:p w14:paraId="79E64110" w14:textId="714B2B32" w:rsidR="00FD60FD" w:rsidRPr="005C429C" w:rsidRDefault="00FD60FD" w:rsidP="00241C9A">
            <w:pPr>
              <w:jc w:val="both"/>
              <w:rPr>
                <w:rFonts w:ascii="Times New Roman" w:hAnsi="Times New Roman" w:cs="Times New Roman"/>
              </w:rPr>
            </w:pPr>
            <w:r w:rsidRPr="005C429C">
              <w:rPr>
                <w:rFonts w:ascii="Times New Roman" w:hAnsi="Times New Roman" w:cs="Times New Roman"/>
              </w:rPr>
              <w:t>NCT01900665 </w:t>
            </w:r>
          </w:p>
        </w:tc>
        <w:tc>
          <w:tcPr>
            <w:tcW w:w="396" w:type="pct"/>
            <w:vMerge w:val="restart"/>
            <w:noWrap/>
            <w:hideMark/>
          </w:tcPr>
          <w:p w14:paraId="115AE951" w14:textId="31CC7100" w:rsidR="00FD60FD" w:rsidRPr="005C429C" w:rsidRDefault="00FD60FD" w:rsidP="00FD60FD">
            <w:pPr>
              <w:jc w:val="both"/>
              <w:rPr>
                <w:rFonts w:ascii="Times New Roman" w:hAnsi="Times New Roman" w:cs="Times New Roman"/>
              </w:rPr>
            </w:pPr>
            <w:r w:rsidRPr="005C429C">
              <w:rPr>
                <w:rFonts w:ascii="Times New Roman" w:hAnsi="Times New Roman" w:cs="Times New Roman"/>
              </w:rPr>
              <w:t>Solanezumab</w:t>
            </w:r>
          </w:p>
        </w:tc>
        <w:tc>
          <w:tcPr>
            <w:tcW w:w="421" w:type="pct"/>
            <w:vMerge w:val="restart"/>
            <w:noWrap/>
            <w:hideMark/>
          </w:tcPr>
          <w:p w14:paraId="69C8B0A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76 weeks</w:t>
            </w:r>
          </w:p>
          <w:p w14:paraId="67B58E7B" w14:textId="532ED88E"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3B27FE8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085BF52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1072</w:t>
            </w:r>
          </w:p>
        </w:tc>
        <w:tc>
          <w:tcPr>
            <w:tcW w:w="1326" w:type="pct"/>
            <w:gridSpan w:val="2"/>
            <w:vMerge w:val="restart"/>
            <w:noWrap/>
            <w:hideMark/>
          </w:tcPr>
          <w:p w14:paraId="54890ACC" w14:textId="77B3F763" w:rsidR="00FD60FD" w:rsidRPr="005C429C" w:rsidRDefault="00FD60FD" w:rsidP="00FD60FD">
            <w:pPr>
              <w:jc w:val="both"/>
              <w:rPr>
                <w:rFonts w:ascii="Times New Roman" w:hAnsi="Times New Roman" w:cs="Times New Roman"/>
              </w:rPr>
            </w:pPr>
            <w:r w:rsidRPr="005C429C">
              <w:rPr>
                <w:rFonts w:ascii="Times New Roman" w:hAnsi="Times New Roman" w:cs="Times New Roman"/>
              </w:rPr>
              <w:t> mild dementia due to AD</w:t>
            </w:r>
          </w:p>
        </w:tc>
      </w:tr>
      <w:tr w:rsidR="00241C9A" w:rsidRPr="005C429C" w14:paraId="6CD38948" w14:textId="77777777" w:rsidTr="008B293B">
        <w:trPr>
          <w:trHeight w:val="284"/>
        </w:trPr>
        <w:tc>
          <w:tcPr>
            <w:tcW w:w="542" w:type="pct"/>
            <w:vMerge/>
            <w:noWrap/>
            <w:hideMark/>
          </w:tcPr>
          <w:p w14:paraId="7054F81B" w14:textId="547D9DE5" w:rsidR="00FD60FD" w:rsidRPr="005C429C" w:rsidRDefault="00FD60FD" w:rsidP="00B63A86">
            <w:pPr>
              <w:jc w:val="both"/>
              <w:rPr>
                <w:rFonts w:ascii="Times New Roman" w:hAnsi="Times New Roman" w:cs="Times New Roman"/>
              </w:rPr>
            </w:pPr>
          </w:p>
        </w:tc>
        <w:tc>
          <w:tcPr>
            <w:tcW w:w="551" w:type="pct"/>
            <w:vMerge/>
            <w:noWrap/>
            <w:hideMark/>
          </w:tcPr>
          <w:p w14:paraId="06BF254A" w14:textId="560F21D1" w:rsidR="00FD60FD" w:rsidRPr="005C429C" w:rsidRDefault="00FD60FD" w:rsidP="00B63A86">
            <w:pPr>
              <w:jc w:val="both"/>
              <w:rPr>
                <w:rFonts w:ascii="Times New Roman" w:hAnsi="Times New Roman" w:cs="Times New Roman"/>
              </w:rPr>
            </w:pPr>
          </w:p>
        </w:tc>
        <w:tc>
          <w:tcPr>
            <w:tcW w:w="396" w:type="pct"/>
            <w:vMerge/>
            <w:noWrap/>
            <w:hideMark/>
          </w:tcPr>
          <w:p w14:paraId="6E063690" w14:textId="47F553C0" w:rsidR="00FD60FD" w:rsidRPr="005C429C" w:rsidRDefault="00FD60FD" w:rsidP="00B63A86">
            <w:pPr>
              <w:jc w:val="both"/>
              <w:rPr>
                <w:rFonts w:ascii="Times New Roman" w:hAnsi="Times New Roman" w:cs="Times New Roman"/>
              </w:rPr>
            </w:pPr>
          </w:p>
        </w:tc>
        <w:tc>
          <w:tcPr>
            <w:tcW w:w="421" w:type="pct"/>
            <w:vMerge/>
            <w:noWrap/>
            <w:hideMark/>
          </w:tcPr>
          <w:p w14:paraId="7F68125E" w14:textId="453A5481" w:rsidR="00FD60FD" w:rsidRPr="005C429C" w:rsidRDefault="00FD60FD" w:rsidP="00B63A86">
            <w:pPr>
              <w:jc w:val="both"/>
              <w:rPr>
                <w:rFonts w:ascii="Times New Roman" w:hAnsi="Times New Roman" w:cs="Times New Roman"/>
              </w:rPr>
            </w:pPr>
          </w:p>
        </w:tc>
        <w:tc>
          <w:tcPr>
            <w:tcW w:w="1248" w:type="pct"/>
            <w:noWrap/>
            <w:hideMark/>
          </w:tcPr>
          <w:p w14:paraId="56959B41"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400 mg</w:t>
            </w:r>
          </w:p>
        </w:tc>
        <w:tc>
          <w:tcPr>
            <w:tcW w:w="516" w:type="pct"/>
            <w:noWrap/>
            <w:hideMark/>
          </w:tcPr>
          <w:p w14:paraId="4471F73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1057</w:t>
            </w:r>
          </w:p>
        </w:tc>
        <w:tc>
          <w:tcPr>
            <w:tcW w:w="1326" w:type="pct"/>
            <w:gridSpan w:val="2"/>
            <w:vMerge/>
            <w:noWrap/>
            <w:hideMark/>
          </w:tcPr>
          <w:p w14:paraId="5C8EC976" w14:textId="30783B51" w:rsidR="00FD60FD" w:rsidRPr="005C429C" w:rsidRDefault="00FD60FD" w:rsidP="00B63A86">
            <w:pPr>
              <w:jc w:val="both"/>
              <w:rPr>
                <w:rFonts w:ascii="Times New Roman" w:hAnsi="Times New Roman" w:cs="Times New Roman"/>
              </w:rPr>
            </w:pPr>
          </w:p>
        </w:tc>
      </w:tr>
      <w:tr w:rsidR="00241C9A" w:rsidRPr="005C429C" w14:paraId="207C8AEE" w14:textId="77777777" w:rsidTr="008B293B">
        <w:trPr>
          <w:trHeight w:val="284"/>
        </w:trPr>
        <w:tc>
          <w:tcPr>
            <w:tcW w:w="542" w:type="pct"/>
            <w:vMerge w:val="restart"/>
            <w:noWrap/>
            <w:hideMark/>
          </w:tcPr>
          <w:p w14:paraId="0A46920F" w14:textId="53395785" w:rsidR="00FD60FD" w:rsidRPr="005C429C" w:rsidRDefault="00FD60FD" w:rsidP="00241C9A">
            <w:pPr>
              <w:jc w:val="both"/>
              <w:rPr>
                <w:rFonts w:ascii="Times New Roman" w:hAnsi="Times New Roman" w:cs="Times New Roman"/>
              </w:rPr>
            </w:pPr>
            <w:r w:rsidRPr="005C429C">
              <w:rPr>
                <w:rFonts w:ascii="Times New Roman" w:hAnsi="Times New Roman" w:cs="Times New Roman"/>
              </w:rPr>
              <w:t>EXPEDITION EXT </w:t>
            </w:r>
          </w:p>
        </w:tc>
        <w:tc>
          <w:tcPr>
            <w:tcW w:w="551" w:type="pct"/>
            <w:vMerge w:val="restart"/>
            <w:noWrap/>
            <w:hideMark/>
          </w:tcPr>
          <w:p w14:paraId="505E0983" w14:textId="0512A4BE" w:rsidR="00FD60FD" w:rsidRPr="005C429C" w:rsidRDefault="00FD60FD" w:rsidP="00241C9A">
            <w:pPr>
              <w:jc w:val="both"/>
              <w:rPr>
                <w:rFonts w:ascii="Times New Roman" w:hAnsi="Times New Roman" w:cs="Times New Roman"/>
              </w:rPr>
            </w:pPr>
            <w:r w:rsidRPr="005C429C">
              <w:rPr>
                <w:rFonts w:ascii="Times New Roman" w:hAnsi="Times New Roman" w:cs="Times New Roman"/>
              </w:rPr>
              <w:t>NCT01127633</w:t>
            </w:r>
          </w:p>
        </w:tc>
        <w:tc>
          <w:tcPr>
            <w:tcW w:w="396" w:type="pct"/>
            <w:vMerge w:val="restart"/>
            <w:noWrap/>
            <w:hideMark/>
          </w:tcPr>
          <w:p w14:paraId="429FCC0B" w14:textId="3746C359" w:rsidR="00FD60FD" w:rsidRPr="005C429C" w:rsidRDefault="00FD60FD" w:rsidP="00FD60FD">
            <w:pPr>
              <w:jc w:val="both"/>
              <w:rPr>
                <w:rFonts w:ascii="Times New Roman" w:hAnsi="Times New Roman" w:cs="Times New Roman"/>
              </w:rPr>
            </w:pPr>
            <w:r w:rsidRPr="005C429C">
              <w:rPr>
                <w:rFonts w:ascii="Times New Roman" w:hAnsi="Times New Roman" w:cs="Times New Roman"/>
              </w:rPr>
              <w:t>Solanezumab</w:t>
            </w:r>
          </w:p>
        </w:tc>
        <w:tc>
          <w:tcPr>
            <w:tcW w:w="421" w:type="pct"/>
            <w:vMerge w:val="restart"/>
            <w:noWrap/>
            <w:hideMark/>
          </w:tcPr>
          <w:p w14:paraId="0F4079F2"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104</w:t>
            </w:r>
          </w:p>
          <w:p w14:paraId="07639997" w14:textId="3792E6FF"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1307F64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33807D2E"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723</w:t>
            </w:r>
          </w:p>
        </w:tc>
        <w:tc>
          <w:tcPr>
            <w:tcW w:w="1326" w:type="pct"/>
            <w:gridSpan w:val="2"/>
            <w:vMerge w:val="restart"/>
            <w:noWrap/>
            <w:hideMark/>
          </w:tcPr>
          <w:p w14:paraId="6AB64ABD" w14:textId="01171EFF" w:rsidR="00FD60FD" w:rsidRPr="005C429C" w:rsidRDefault="00FD60FD" w:rsidP="00B63A86">
            <w:pPr>
              <w:jc w:val="both"/>
              <w:rPr>
                <w:rFonts w:ascii="Times New Roman" w:hAnsi="Times New Roman" w:cs="Times New Roman"/>
              </w:rPr>
            </w:pPr>
            <w:r w:rsidRPr="005C429C">
              <w:rPr>
                <w:rFonts w:ascii="Times New Roman" w:hAnsi="Times New Roman" w:cs="Times New Roman"/>
              </w:rPr>
              <w:t> mild dementia due to AD </w:t>
            </w:r>
          </w:p>
          <w:p w14:paraId="6B406556" w14:textId="6E5E2BF2"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r>
      <w:tr w:rsidR="00241C9A" w:rsidRPr="005C429C" w14:paraId="54C41FE8" w14:textId="77777777" w:rsidTr="008B293B">
        <w:trPr>
          <w:trHeight w:val="284"/>
        </w:trPr>
        <w:tc>
          <w:tcPr>
            <w:tcW w:w="542" w:type="pct"/>
            <w:vMerge/>
            <w:noWrap/>
            <w:hideMark/>
          </w:tcPr>
          <w:p w14:paraId="64EA9B82" w14:textId="7A43FED3" w:rsidR="00FD60FD" w:rsidRPr="005C429C" w:rsidRDefault="00FD60FD" w:rsidP="00B63A86">
            <w:pPr>
              <w:jc w:val="both"/>
              <w:rPr>
                <w:rFonts w:ascii="Times New Roman" w:hAnsi="Times New Roman" w:cs="Times New Roman"/>
              </w:rPr>
            </w:pPr>
          </w:p>
        </w:tc>
        <w:tc>
          <w:tcPr>
            <w:tcW w:w="551" w:type="pct"/>
            <w:vMerge/>
            <w:noWrap/>
            <w:hideMark/>
          </w:tcPr>
          <w:p w14:paraId="175CBC45" w14:textId="0B1243FC" w:rsidR="00FD60FD" w:rsidRPr="005C429C" w:rsidRDefault="00FD60FD" w:rsidP="00B63A86">
            <w:pPr>
              <w:jc w:val="both"/>
              <w:rPr>
                <w:rFonts w:ascii="Times New Roman" w:hAnsi="Times New Roman" w:cs="Times New Roman"/>
              </w:rPr>
            </w:pPr>
          </w:p>
        </w:tc>
        <w:tc>
          <w:tcPr>
            <w:tcW w:w="396" w:type="pct"/>
            <w:vMerge/>
            <w:noWrap/>
            <w:hideMark/>
          </w:tcPr>
          <w:p w14:paraId="5BAF6813" w14:textId="2CDACF16" w:rsidR="00FD60FD" w:rsidRPr="005C429C" w:rsidRDefault="00FD60FD" w:rsidP="00B63A86">
            <w:pPr>
              <w:jc w:val="both"/>
              <w:rPr>
                <w:rFonts w:ascii="Times New Roman" w:hAnsi="Times New Roman" w:cs="Times New Roman"/>
              </w:rPr>
            </w:pPr>
          </w:p>
        </w:tc>
        <w:tc>
          <w:tcPr>
            <w:tcW w:w="421" w:type="pct"/>
            <w:vMerge/>
            <w:noWrap/>
            <w:hideMark/>
          </w:tcPr>
          <w:p w14:paraId="733885E7" w14:textId="00887D6D" w:rsidR="00FD60FD" w:rsidRPr="005C429C" w:rsidRDefault="00FD60FD" w:rsidP="00B63A86">
            <w:pPr>
              <w:jc w:val="both"/>
              <w:rPr>
                <w:rFonts w:ascii="Times New Roman" w:hAnsi="Times New Roman" w:cs="Times New Roman"/>
              </w:rPr>
            </w:pPr>
          </w:p>
        </w:tc>
        <w:tc>
          <w:tcPr>
            <w:tcW w:w="1248" w:type="pct"/>
            <w:noWrap/>
            <w:hideMark/>
          </w:tcPr>
          <w:p w14:paraId="5A75E96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400 mg</w:t>
            </w:r>
          </w:p>
        </w:tc>
        <w:tc>
          <w:tcPr>
            <w:tcW w:w="516" w:type="pct"/>
            <w:noWrap/>
            <w:hideMark/>
          </w:tcPr>
          <w:p w14:paraId="7888D3D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734</w:t>
            </w:r>
          </w:p>
        </w:tc>
        <w:tc>
          <w:tcPr>
            <w:tcW w:w="1326" w:type="pct"/>
            <w:gridSpan w:val="2"/>
            <w:vMerge/>
            <w:noWrap/>
            <w:hideMark/>
          </w:tcPr>
          <w:p w14:paraId="3B76B9D6" w14:textId="35C32692" w:rsidR="00FD60FD" w:rsidRPr="005C429C" w:rsidRDefault="00FD60FD" w:rsidP="00B63A86">
            <w:pPr>
              <w:jc w:val="both"/>
              <w:rPr>
                <w:rFonts w:ascii="Times New Roman" w:hAnsi="Times New Roman" w:cs="Times New Roman"/>
              </w:rPr>
            </w:pPr>
          </w:p>
        </w:tc>
      </w:tr>
      <w:tr w:rsidR="00241C9A" w:rsidRPr="005C429C" w14:paraId="53617FAB" w14:textId="77777777" w:rsidTr="008B293B">
        <w:trPr>
          <w:trHeight w:val="284"/>
        </w:trPr>
        <w:tc>
          <w:tcPr>
            <w:tcW w:w="542" w:type="pct"/>
            <w:vMerge w:val="restart"/>
            <w:noWrap/>
            <w:hideMark/>
          </w:tcPr>
          <w:p w14:paraId="0308E6F8" w14:textId="59DF64CD" w:rsidR="00FD60FD" w:rsidRPr="005C429C" w:rsidRDefault="00FD60FD" w:rsidP="00241C9A">
            <w:pPr>
              <w:jc w:val="both"/>
              <w:rPr>
                <w:rFonts w:ascii="Times New Roman" w:hAnsi="Times New Roman" w:cs="Times New Roman"/>
              </w:rPr>
            </w:pPr>
            <w:r w:rsidRPr="005C429C">
              <w:rPr>
                <w:rFonts w:ascii="Times New Roman" w:hAnsi="Times New Roman" w:cs="Times New Roman"/>
              </w:rPr>
              <w:t>A4 </w:t>
            </w:r>
          </w:p>
        </w:tc>
        <w:tc>
          <w:tcPr>
            <w:tcW w:w="551" w:type="pct"/>
            <w:vMerge w:val="restart"/>
            <w:noWrap/>
            <w:hideMark/>
          </w:tcPr>
          <w:p w14:paraId="079169DA" w14:textId="30C0FB42" w:rsidR="00FD60FD" w:rsidRPr="005C429C" w:rsidRDefault="00FD60FD" w:rsidP="00241C9A">
            <w:pPr>
              <w:jc w:val="both"/>
              <w:rPr>
                <w:rFonts w:ascii="Times New Roman" w:hAnsi="Times New Roman" w:cs="Times New Roman"/>
              </w:rPr>
            </w:pPr>
            <w:r w:rsidRPr="005C429C">
              <w:rPr>
                <w:rFonts w:ascii="Times New Roman" w:hAnsi="Times New Roman" w:cs="Times New Roman"/>
              </w:rPr>
              <w:t>NCT02008357 </w:t>
            </w:r>
          </w:p>
        </w:tc>
        <w:tc>
          <w:tcPr>
            <w:tcW w:w="396" w:type="pct"/>
            <w:vMerge w:val="restart"/>
            <w:noWrap/>
            <w:hideMark/>
          </w:tcPr>
          <w:p w14:paraId="709674AF" w14:textId="2E83FD57" w:rsidR="00FD60FD" w:rsidRPr="005C429C" w:rsidRDefault="00FD60FD" w:rsidP="00FD60FD">
            <w:pPr>
              <w:jc w:val="both"/>
              <w:rPr>
                <w:rFonts w:ascii="Times New Roman" w:hAnsi="Times New Roman" w:cs="Times New Roman"/>
              </w:rPr>
            </w:pPr>
            <w:r w:rsidRPr="005C429C">
              <w:rPr>
                <w:rFonts w:ascii="Times New Roman" w:hAnsi="Times New Roman" w:cs="Times New Roman"/>
              </w:rPr>
              <w:t>Solanezumab </w:t>
            </w:r>
          </w:p>
        </w:tc>
        <w:tc>
          <w:tcPr>
            <w:tcW w:w="421" w:type="pct"/>
            <w:vMerge w:val="restart"/>
            <w:noWrap/>
            <w:hideMark/>
          </w:tcPr>
          <w:p w14:paraId="4D5E1C09"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240 weeks</w:t>
            </w:r>
          </w:p>
          <w:p w14:paraId="57076004" w14:textId="2E666421"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50FB4D2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53CB8086"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583</w:t>
            </w:r>
          </w:p>
        </w:tc>
        <w:tc>
          <w:tcPr>
            <w:tcW w:w="1326" w:type="pct"/>
            <w:gridSpan w:val="2"/>
            <w:vMerge w:val="restart"/>
            <w:noWrap/>
            <w:hideMark/>
          </w:tcPr>
          <w:p w14:paraId="1CE87C44" w14:textId="665C2FEB" w:rsidR="00FD60FD" w:rsidRPr="005C429C" w:rsidRDefault="00FD60FD" w:rsidP="00B63A86">
            <w:pPr>
              <w:jc w:val="both"/>
              <w:rPr>
                <w:rFonts w:ascii="Times New Roman" w:hAnsi="Times New Roman" w:cs="Times New Roman"/>
              </w:rPr>
            </w:pPr>
            <w:r w:rsidRPr="005C429C">
              <w:rPr>
                <w:rFonts w:ascii="Times New Roman" w:hAnsi="Times New Roman" w:cs="Times New Roman"/>
              </w:rPr>
              <w:t> Unknown</w:t>
            </w:r>
          </w:p>
          <w:p w14:paraId="6087C370" w14:textId="1DF4096F"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r>
      <w:tr w:rsidR="00241C9A" w:rsidRPr="005C429C" w14:paraId="2E535294" w14:textId="77777777" w:rsidTr="008B293B">
        <w:trPr>
          <w:trHeight w:val="284"/>
        </w:trPr>
        <w:tc>
          <w:tcPr>
            <w:tcW w:w="542" w:type="pct"/>
            <w:vMerge/>
            <w:noWrap/>
            <w:hideMark/>
          </w:tcPr>
          <w:p w14:paraId="5E6BB71C" w14:textId="5D1EAAAC" w:rsidR="00FD60FD" w:rsidRPr="005C429C" w:rsidRDefault="00FD60FD" w:rsidP="00B63A86">
            <w:pPr>
              <w:jc w:val="both"/>
              <w:rPr>
                <w:rFonts w:ascii="Times New Roman" w:hAnsi="Times New Roman" w:cs="Times New Roman"/>
              </w:rPr>
            </w:pPr>
          </w:p>
        </w:tc>
        <w:tc>
          <w:tcPr>
            <w:tcW w:w="551" w:type="pct"/>
            <w:vMerge/>
            <w:noWrap/>
            <w:hideMark/>
          </w:tcPr>
          <w:p w14:paraId="655C8DE7" w14:textId="6DE63840" w:rsidR="00FD60FD" w:rsidRPr="005C429C" w:rsidRDefault="00FD60FD" w:rsidP="00B63A86">
            <w:pPr>
              <w:jc w:val="both"/>
              <w:rPr>
                <w:rFonts w:ascii="Times New Roman" w:hAnsi="Times New Roman" w:cs="Times New Roman"/>
              </w:rPr>
            </w:pPr>
          </w:p>
        </w:tc>
        <w:tc>
          <w:tcPr>
            <w:tcW w:w="396" w:type="pct"/>
            <w:vMerge/>
            <w:noWrap/>
            <w:hideMark/>
          </w:tcPr>
          <w:p w14:paraId="2ABCC3DE" w14:textId="3FFEC361" w:rsidR="00FD60FD" w:rsidRPr="005C429C" w:rsidRDefault="00FD60FD" w:rsidP="00B63A86">
            <w:pPr>
              <w:jc w:val="both"/>
              <w:rPr>
                <w:rFonts w:ascii="Times New Roman" w:hAnsi="Times New Roman" w:cs="Times New Roman"/>
              </w:rPr>
            </w:pPr>
          </w:p>
        </w:tc>
        <w:tc>
          <w:tcPr>
            <w:tcW w:w="421" w:type="pct"/>
            <w:vMerge/>
            <w:noWrap/>
            <w:hideMark/>
          </w:tcPr>
          <w:p w14:paraId="26B2D32C" w14:textId="5EB12826" w:rsidR="00FD60FD" w:rsidRPr="005C429C" w:rsidRDefault="00FD60FD" w:rsidP="00B63A86">
            <w:pPr>
              <w:jc w:val="both"/>
              <w:rPr>
                <w:rFonts w:ascii="Times New Roman" w:hAnsi="Times New Roman" w:cs="Times New Roman"/>
              </w:rPr>
            </w:pPr>
          </w:p>
        </w:tc>
        <w:tc>
          <w:tcPr>
            <w:tcW w:w="1248" w:type="pct"/>
            <w:noWrap/>
            <w:hideMark/>
          </w:tcPr>
          <w:p w14:paraId="355C0950"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1600 mg</w:t>
            </w:r>
          </w:p>
        </w:tc>
        <w:tc>
          <w:tcPr>
            <w:tcW w:w="516" w:type="pct"/>
            <w:noWrap/>
            <w:hideMark/>
          </w:tcPr>
          <w:p w14:paraId="26DE2319"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564</w:t>
            </w:r>
          </w:p>
        </w:tc>
        <w:tc>
          <w:tcPr>
            <w:tcW w:w="1326" w:type="pct"/>
            <w:gridSpan w:val="2"/>
            <w:vMerge/>
            <w:noWrap/>
            <w:hideMark/>
          </w:tcPr>
          <w:p w14:paraId="0392B5C1" w14:textId="51530E2B" w:rsidR="00FD60FD" w:rsidRPr="005C429C" w:rsidRDefault="00FD60FD" w:rsidP="00B63A86">
            <w:pPr>
              <w:jc w:val="both"/>
              <w:rPr>
                <w:rFonts w:ascii="Times New Roman" w:hAnsi="Times New Roman" w:cs="Times New Roman"/>
              </w:rPr>
            </w:pPr>
          </w:p>
        </w:tc>
      </w:tr>
      <w:tr w:rsidR="00241C9A" w:rsidRPr="005C429C" w14:paraId="7B9D0F31" w14:textId="77777777" w:rsidTr="008B293B">
        <w:trPr>
          <w:trHeight w:val="284"/>
        </w:trPr>
        <w:tc>
          <w:tcPr>
            <w:tcW w:w="542" w:type="pct"/>
            <w:vMerge w:val="restart"/>
            <w:noWrap/>
            <w:hideMark/>
          </w:tcPr>
          <w:p w14:paraId="668F5CE4" w14:textId="6A2B045B" w:rsidR="00FD60FD" w:rsidRPr="005C429C" w:rsidRDefault="00FD60FD" w:rsidP="00B63A86">
            <w:pPr>
              <w:jc w:val="both"/>
              <w:rPr>
                <w:rFonts w:ascii="Times New Roman" w:hAnsi="Times New Roman" w:cs="Times New Roman"/>
                <w:b/>
                <w:bCs/>
              </w:rPr>
            </w:pPr>
            <w:r w:rsidRPr="005C429C">
              <w:rPr>
                <w:rFonts w:ascii="Times New Roman" w:hAnsi="Times New Roman" w:cs="Times New Roman"/>
              </w:rPr>
              <w:t>DIAN-TU-001</w:t>
            </w:r>
            <w:r w:rsidRPr="005C429C">
              <w:rPr>
                <w:rFonts w:ascii="Times New Roman" w:hAnsi="Times New Roman" w:cs="Times New Roman"/>
                <w:b/>
                <w:bCs/>
              </w:rPr>
              <w:t> </w:t>
            </w:r>
          </w:p>
          <w:p w14:paraId="4D93CAB6" w14:textId="24EB8BCB"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551" w:type="pct"/>
            <w:vMerge w:val="restart"/>
            <w:noWrap/>
            <w:hideMark/>
          </w:tcPr>
          <w:p w14:paraId="7B8FFA2A" w14:textId="7673E937" w:rsidR="00FD60FD" w:rsidRPr="005C429C" w:rsidRDefault="00FD60FD" w:rsidP="00B63A86">
            <w:pPr>
              <w:jc w:val="both"/>
              <w:rPr>
                <w:rFonts w:ascii="Times New Roman" w:hAnsi="Times New Roman" w:cs="Times New Roman"/>
              </w:rPr>
            </w:pPr>
            <w:r w:rsidRPr="005C429C">
              <w:rPr>
                <w:rFonts w:ascii="Times New Roman" w:hAnsi="Times New Roman" w:cs="Times New Roman"/>
              </w:rPr>
              <w:t>NCT04623242 </w:t>
            </w:r>
          </w:p>
          <w:p w14:paraId="39D484E1" w14:textId="5D7D1A63"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396" w:type="pct"/>
            <w:vMerge w:val="restart"/>
            <w:noWrap/>
            <w:hideMark/>
          </w:tcPr>
          <w:p w14:paraId="28FA80A2" w14:textId="03F75113" w:rsidR="00FD60FD" w:rsidRPr="005C429C" w:rsidRDefault="00FD60FD" w:rsidP="00FD60FD">
            <w:pPr>
              <w:jc w:val="both"/>
              <w:rPr>
                <w:rFonts w:ascii="Times New Roman" w:hAnsi="Times New Roman" w:cs="Times New Roman"/>
              </w:rPr>
            </w:pPr>
            <w:r w:rsidRPr="005C429C">
              <w:rPr>
                <w:rFonts w:ascii="Times New Roman" w:hAnsi="Times New Roman" w:cs="Times New Roman"/>
              </w:rPr>
              <w:t>Gantenerumab</w:t>
            </w:r>
          </w:p>
        </w:tc>
        <w:tc>
          <w:tcPr>
            <w:tcW w:w="421" w:type="pct"/>
            <w:vMerge w:val="restart"/>
            <w:noWrap/>
            <w:hideMark/>
          </w:tcPr>
          <w:p w14:paraId="1DC59A3B" w14:textId="57C6E5CE" w:rsidR="00FD60FD" w:rsidRPr="005C429C" w:rsidRDefault="00FD60FD" w:rsidP="00B63A86">
            <w:pPr>
              <w:jc w:val="both"/>
              <w:rPr>
                <w:rFonts w:ascii="Times New Roman" w:hAnsi="Times New Roman" w:cs="Times New Roman"/>
              </w:rPr>
            </w:pPr>
            <w:r w:rsidRPr="005C429C">
              <w:rPr>
                <w:rFonts w:ascii="Times New Roman" w:hAnsi="Times New Roman" w:cs="Times New Roman"/>
              </w:rPr>
              <w:t>4-7 years </w:t>
            </w:r>
          </w:p>
          <w:p w14:paraId="2D2598F9" w14:textId="40BA91F7"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c>
          <w:tcPr>
            <w:tcW w:w="1248" w:type="pct"/>
            <w:noWrap/>
            <w:hideMark/>
          </w:tcPr>
          <w:p w14:paraId="166A654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Placebo</w:t>
            </w:r>
          </w:p>
        </w:tc>
        <w:tc>
          <w:tcPr>
            <w:tcW w:w="516" w:type="pct"/>
            <w:noWrap/>
            <w:hideMark/>
          </w:tcPr>
          <w:p w14:paraId="0ABCCA1D"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40</w:t>
            </w:r>
          </w:p>
        </w:tc>
        <w:tc>
          <w:tcPr>
            <w:tcW w:w="1326" w:type="pct"/>
            <w:gridSpan w:val="2"/>
            <w:vMerge w:val="restart"/>
            <w:noWrap/>
            <w:hideMark/>
          </w:tcPr>
          <w:p w14:paraId="4909E7CD" w14:textId="046AEF60" w:rsidR="00FD60FD" w:rsidRPr="005C429C" w:rsidRDefault="00FD60FD" w:rsidP="00B63A86">
            <w:pPr>
              <w:jc w:val="both"/>
              <w:rPr>
                <w:rFonts w:ascii="Times New Roman" w:hAnsi="Times New Roman" w:cs="Times New Roman"/>
              </w:rPr>
            </w:pPr>
            <w:r w:rsidRPr="005C429C">
              <w:rPr>
                <w:rFonts w:ascii="Times New Roman" w:hAnsi="Times New Roman" w:cs="Times New Roman"/>
              </w:rPr>
              <w:t>dominantly inherited AD  </w:t>
            </w:r>
          </w:p>
          <w:p w14:paraId="07A2622D" w14:textId="1C0E779F" w:rsidR="00FD60FD" w:rsidRPr="005C429C" w:rsidRDefault="00FD60FD" w:rsidP="00B63A86">
            <w:pPr>
              <w:jc w:val="both"/>
              <w:rPr>
                <w:rFonts w:ascii="Times New Roman" w:hAnsi="Times New Roman" w:cs="Times New Roman"/>
              </w:rPr>
            </w:pPr>
            <w:r w:rsidRPr="005C429C">
              <w:rPr>
                <w:rFonts w:ascii="Times New Roman" w:hAnsi="Times New Roman" w:cs="Times New Roman"/>
              </w:rPr>
              <w:t> </w:t>
            </w:r>
          </w:p>
        </w:tc>
      </w:tr>
      <w:tr w:rsidR="00241C9A" w:rsidRPr="005C429C" w14:paraId="2B1C6AE9" w14:textId="77777777" w:rsidTr="008B293B">
        <w:trPr>
          <w:trHeight w:val="284"/>
        </w:trPr>
        <w:tc>
          <w:tcPr>
            <w:tcW w:w="542" w:type="pct"/>
            <w:vMerge/>
            <w:noWrap/>
            <w:hideMark/>
          </w:tcPr>
          <w:p w14:paraId="535CC981" w14:textId="1D84B1AD" w:rsidR="00FD60FD" w:rsidRPr="005C429C" w:rsidRDefault="00FD60FD" w:rsidP="00B63A86">
            <w:pPr>
              <w:jc w:val="both"/>
              <w:rPr>
                <w:rFonts w:ascii="Times New Roman" w:hAnsi="Times New Roman" w:cs="Times New Roman"/>
                <w:b/>
                <w:bCs/>
              </w:rPr>
            </w:pPr>
          </w:p>
        </w:tc>
        <w:tc>
          <w:tcPr>
            <w:tcW w:w="551" w:type="pct"/>
            <w:vMerge/>
            <w:noWrap/>
            <w:hideMark/>
          </w:tcPr>
          <w:p w14:paraId="29AB39B3" w14:textId="614ACB19" w:rsidR="00FD60FD" w:rsidRPr="005C429C" w:rsidRDefault="00FD60FD" w:rsidP="00B63A86">
            <w:pPr>
              <w:jc w:val="both"/>
              <w:rPr>
                <w:rFonts w:ascii="Times New Roman" w:hAnsi="Times New Roman" w:cs="Times New Roman"/>
              </w:rPr>
            </w:pPr>
          </w:p>
        </w:tc>
        <w:tc>
          <w:tcPr>
            <w:tcW w:w="396" w:type="pct"/>
            <w:vMerge/>
            <w:noWrap/>
            <w:hideMark/>
          </w:tcPr>
          <w:p w14:paraId="28D147B8" w14:textId="6BCE424E" w:rsidR="00FD60FD" w:rsidRPr="005C429C" w:rsidRDefault="00FD60FD" w:rsidP="00B63A86">
            <w:pPr>
              <w:jc w:val="both"/>
              <w:rPr>
                <w:rFonts w:ascii="Times New Roman" w:hAnsi="Times New Roman" w:cs="Times New Roman"/>
              </w:rPr>
            </w:pPr>
          </w:p>
        </w:tc>
        <w:tc>
          <w:tcPr>
            <w:tcW w:w="421" w:type="pct"/>
            <w:vMerge/>
            <w:noWrap/>
            <w:hideMark/>
          </w:tcPr>
          <w:p w14:paraId="7FB92074" w14:textId="13EF34EA" w:rsidR="00FD60FD" w:rsidRPr="005C429C" w:rsidRDefault="00FD60FD" w:rsidP="00B63A86">
            <w:pPr>
              <w:jc w:val="both"/>
              <w:rPr>
                <w:rFonts w:ascii="Times New Roman" w:hAnsi="Times New Roman" w:cs="Times New Roman"/>
              </w:rPr>
            </w:pPr>
          </w:p>
        </w:tc>
        <w:tc>
          <w:tcPr>
            <w:tcW w:w="1248" w:type="pct"/>
            <w:noWrap/>
            <w:hideMark/>
          </w:tcPr>
          <w:p w14:paraId="7C1EEE55"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Solanezumab 400 mg to 1600 mg</w:t>
            </w:r>
          </w:p>
        </w:tc>
        <w:tc>
          <w:tcPr>
            <w:tcW w:w="516" w:type="pct"/>
            <w:noWrap/>
            <w:hideMark/>
          </w:tcPr>
          <w:p w14:paraId="49AA3E2C"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50</w:t>
            </w:r>
          </w:p>
        </w:tc>
        <w:tc>
          <w:tcPr>
            <w:tcW w:w="1326" w:type="pct"/>
            <w:gridSpan w:val="2"/>
            <w:vMerge/>
            <w:noWrap/>
            <w:hideMark/>
          </w:tcPr>
          <w:p w14:paraId="1A90410E" w14:textId="5427BDEF" w:rsidR="00FD60FD" w:rsidRPr="005C429C" w:rsidRDefault="00FD60FD" w:rsidP="00B63A86">
            <w:pPr>
              <w:jc w:val="both"/>
              <w:rPr>
                <w:rFonts w:ascii="Times New Roman" w:hAnsi="Times New Roman" w:cs="Times New Roman"/>
              </w:rPr>
            </w:pPr>
          </w:p>
        </w:tc>
      </w:tr>
      <w:tr w:rsidR="00241C9A" w:rsidRPr="005C429C" w14:paraId="16112D80" w14:textId="77777777" w:rsidTr="008B293B">
        <w:trPr>
          <w:trHeight w:val="284"/>
        </w:trPr>
        <w:tc>
          <w:tcPr>
            <w:tcW w:w="542" w:type="pct"/>
            <w:vMerge/>
            <w:noWrap/>
            <w:hideMark/>
          </w:tcPr>
          <w:p w14:paraId="7C3E48A7" w14:textId="5A2F0B83" w:rsidR="00FD60FD" w:rsidRPr="005C429C" w:rsidRDefault="00FD60FD" w:rsidP="00B63A86">
            <w:pPr>
              <w:jc w:val="both"/>
              <w:rPr>
                <w:rFonts w:ascii="Times New Roman" w:hAnsi="Times New Roman" w:cs="Times New Roman"/>
              </w:rPr>
            </w:pPr>
          </w:p>
        </w:tc>
        <w:tc>
          <w:tcPr>
            <w:tcW w:w="551" w:type="pct"/>
            <w:vMerge/>
            <w:noWrap/>
            <w:hideMark/>
          </w:tcPr>
          <w:p w14:paraId="7C7630F7" w14:textId="2D9E9E76" w:rsidR="00FD60FD" w:rsidRPr="005C429C" w:rsidRDefault="00FD60FD" w:rsidP="00B63A86">
            <w:pPr>
              <w:jc w:val="both"/>
              <w:rPr>
                <w:rFonts w:ascii="Times New Roman" w:hAnsi="Times New Roman" w:cs="Times New Roman"/>
              </w:rPr>
            </w:pPr>
          </w:p>
        </w:tc>
        <w:tc>
          <w:tcPr>
            <w:tcW w:w="396" w:type="pct"/>
            <w:vMerge/>
            <w:noWrap/>
            <w:hideMark/>
          </w:tcPr>
          <w:p w14:paraId="5D416F23" w14:textId="01DA67C6" w:rsidR="00FD60FD" w:rsidRPr="005C429C" w:rsidRDefault="00FD60FD" w:rsidP="00B63A86">
            <w:pPr>
              <w:jc w:val="both"/>
              <w:rPr>
                <w:rFonts w:ascii="Times New Roman" w:hAnsi="Times New Roman" w:cs="Times New Roman"/>
              </w:rPr>
            </w:pPr>
          </w:p>
        </w:tc>
        <w:tc>
          <w:tcPr>
            <w:tcW w:w="421" w:type="pct"/>
            <w:vMerge/>
            <w:noWrap/>
            <w:hideMark/>
          </w:tcPr>
          <w:p w14:paraId="325171D9" w14:textId="5A7D964C" w:rsidR="00FD60FD" w:rsidRPr="005C429C" w:rsidRDefault="00FD60FD" w:rsidP="00B63A86">
            <w:pPr>
              <w:jc w:val="both"/>
              <w:rPr>
                <w:rFonts w:ascii="Times New Roman" w:hAnsi="Times New Roman" w:cs="Times New Roman"/>
              </w:rPr>
            </w:pPr>
          </w:p>
        </w:tc>
        <w:tc>
          <w:tcPr>
            <w:tcW w:w="1248" w:type="pct"/>
            <w:noWrap/>
            <w:hideMark/>
          </w:tcPr>
          <w:p w14:paraId="79896D64"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Gantenerumab 225 mg to 1200 mg</w:t>
            </w:r>
          </w:p>
        </w:tc>
        <w:tc>
          <w:tcPr>
            <w:tcW w:w="516" w:type="pct"/>
            <w:noWrap/>
            <w:hideMark/>
          </w:tcPr>
          <w:p w14:paraId="2836942F" w14:textId="77777777" w:rsidR="00FD60FD" w:rsidRPr="005C429C" w:rsidRDefault="00FD60FD" w:rsidP="00B63A86">
            <w:pPr>
              <w:jc w:val="both"/>
              <w:rPr>
                <w:rFonts w:ascii="Times New Roman" w:hAnsi="Times New Roman" w:cs="Times New Roman"/>
              </w:rPr>
            </w:pPr>
            <w:r w:rsidRPr="005C429C">
              <w:rPr>
                <w:rFonts w:ascii="Times New Roman" w:hAnsi="Times New Roman" w:cs="Times New Roman"/>
              </w:rPr>
              <w:t>52</w:t>
            </w:r>
          </w:p>
        </w:tc>
        <w:tc>
          <w:tcPr>
            <w:tcW w:w="1326" w:type="pct"/>
            <w:gridSpan w:val="2"/>
            <w:vMerge/>
            <w:noWrap/>
            <w:hideMark/>
          </w:tcPr>
          <w:p w14:paraId="2C9CCA7F" w14:textId="50770EA8" w:rsidR="00FD60FD" w:rsidRPr="005C429C" w:rsidRDefault="00FD60FD" w:rsidP="00B63A86">
            <w:pPr>
              <w:jc w:val="both"/>
              <w:rPr>
                <w:rFonts w:ascii="Times New Roman" w:hAnsi="Times New Roman" w:cs="Times New Roman"/>
              </w:rPr>
            </w:pPr>
          </w:p>
        </w:tc>
      </w:tr>
    </w:tbl>
    <w:p w14:paraId="0BDD014C" w14:textId="3434F5A6" w:rsidR="00624DF1" w:rsidRPr="005C429C" w:rsidRDefault="002A0A20" w:rsidP="00DB55E9">
      <w:pPr>
        <w:jc w:val="both"/>
        <w:rPr>
          <w:rFonts w:ascii="Times New Roman" w:hAnsi="Times New Roman" w:cs="Times New Roman"/>
          <w:sz w:val="28"/>
          <w:szCs w:val="28"/>
        </w:rPr>
      </w:pPr>
      <w:r w:rsidRPr="005C429C">
        <w:rPr>
          <w:rFonts w:ascii="Times New Roman" w:hAnsi="Times New Roman" w:cs="Times New Roman"/>
        </w:rPr>
        <w:t>MCI, mild cognitive impairment; AD, Alzheimer’s disease</w:t>
      </w:r>
      <w:r w:rsidR="00A80D13" w:rsidRPr="005C429C">
        <w:rPr>
          <w:rFonts w:ascii="Times New Roman" w:hAnsi="Times New Roman" w:cs="Times New Roman"/>
        </w:rPr>
        <w:t>.</w:t>
      </w:r>
    </w:p>
    <w:p w14:paraId="40D35246" w14:textId="77777777" w:rsidR="00624DF1" w:rsidRDefault="00624DF1" w:rsidP="00DB55E9">
      <w:pPr>
        <w:jc w:val="both"/>
        <w:rPr>
          <w:rFonts w:ascii="Times New Roman" w:hAnsi="Times New Roman" w:cs="Times New Roman"/>
          <w:sz w:val="28"/>
          <w:szCs w:val="28"/>
        </w:rPr>
      </w:pPr>
    </w:p>
    <w:p w14:paraId="6E894A47" w14:textId="77777777" w:rsidR="00241C9A" w:rsidRPr="005C429C" w:rsidRDefault="00241C9A" w:rsidP="00DB55E9">
      <w:pPr>
        <w:jc w:val="both"/>
        <w:rPr>
          <w:rFonts w:ascii="Times New Roman" w:hAnsi="Times New Roman" w:cs="Times New Roman"/>
          <w:sz w:val="28"/>
          <w:szCs w:val="28"/>
        </w:rPr>
      </w:pPr>
    </w:p>
    <w:p w14:paraId="021EF82A" w14:textId="77777777" w:rsidR="00624DF1" w:rsidRPr="005C429C" w:rsidRDefault="00624DF1" w:rsidP="00DB55E9">
      <w:pPr>
        <w:jc w:val="both"/>
        <w:rPr>
          <w:rFonts w:ascii="Times New Roman" w:hAnsi="Times New Roman" w:cs="Times New Roman"/>
          <w:sz w:val="28"/>
          <w:szCs w:val="28"/>
        </w:rPr>
      </w:pPr>
    </w:p>
    <w:p w14:paraId="23FAF77D" w14:textId="08FED180" w:rsidR="004445D1" w:rsidRPr="005C429C" w:rsidRDefault="00241C9A" w:rsidP="00DB55E9">
      <w:pPr>
        <w:jc w:val="both"/>
        <w:rPr>
          <w:rFonts w:ascii="Times New Roman" w:hAnsi="Times New Roman" w:cs="Times New Roman"/>
          <w:sz w:val="28"/>
          <w:szCs w:val="28"/>
        </w:rPr>
      </w:pPr>
      <w:r>
        <w:rPr>
          <w:rFonts w:ascii="Times New Roman" w:hAnsi="Times New Roman" w:cs="Times New Roman"/>
          <w:sz w:val="28"/>
          <w:szCs w:val="28"/>
        </w:rPr>
        <w:t>A</w:t>
      </w:r>
      <w:r w:rsidR="00AD4C3C" w:rsidRPr="005C429C">
        <w:rPr>
          <w:rFonts w:ascii="Times New Roman" w:hAnsi="Times New Roman" w:cs="Times New Roman"/>
          <w:sz w:val="28"/>
          <w:szCs w:val="28"/>
        </w:rPr>
        <w:t>ppendix C</w:t>
      </w:r>
      <w:r w:rsidR="004445D1" w:rsidRPr="005C429C">
        <w:rPr>
          <w:rFonts w:ascii="Times New Roman" w:hAnsi="Times New Roman" w:cs="Times New Roman"/>
          <w:sz w:val="28"/>
          <w:szCs w:val="28"/>
        </w:rPr>
        <w:t>. Further Results</w:t>
      </w:r>
    </w:p>
    <w:p w14:paraId="1CF2EFE8" w14:textId="243F76A1" w:rsidR="00023DAC" w:rsidRPr="005C429C" w:rsidRDefault="00AD4C3C" w:rsidP="00DB55E9">
      <w:pPr>
        <w:jc w:val="both"/>
        <w:rPr>
          <w:rFonts w:ascii="Times New Roman" w:hAnsi="Times New Roman" w:cs="Times New Roman"/>
          <w:sz w:val="24"/>
          <w:szCs w:val="24"/>
        </w:rPr>
      </w:pPr>
      <w:r w:rsidRPr="005C429C">
        <w:rPr>
          <w:rFonts w:ascii="Times New Roman" w:hAnsi="Times New Roman" w:cs="Times New Roman"/>
          <w:sz w:val="24"/>
          <w:szCs w:val="24"/>
        </w:rPr>
        <w:t>Appendix C</w:t>
      </w:r>
      <w:r w:rsidR="00023DAC" w:rsidRPr="005C429C">
        <w:rPr>
          <w:rFonts w:ascii="Times New Roman" w:hAnsi="Times New Roman" w:cs="Times New Roman"/>
          <w:sz w:val="24"/>
          <w:szCs w:val="24"/>
        </w:rPr>
        <w:t>1. Cross validations and predictions for the analysis of surrogate relationships across all trials of MABs</w:t>
      </w:r>
    </w:p>
    <w:p w14:paraId="2EEA47C3" w14:textId="3F9810F1" w:rsidR="00023DAC" w:rsidRPr="005C429C" w:rsidRDefault="00023DAC" w:rsidP="00DB55E9">
      <w:pPr>
        <w:jc w:val="both"/>
        <w:rPr>
          <w:rFonts w:ascii="Times New Roman" w:hAnsi="Times New Roman" w:cs="Times New Roman"/>
          <w:sz w:val="24"/>
          <w:szCs w:val="24"/>
        </w:rPr>
      </w:pPr>
      <w:r w:rsidRPr="005C429C">
        <w:rPr>
          <w:rFonts w:ascii="Times New Roman" w:hAnsi="Times New Roman" w:cs="Times New Roman"/>
          <w:sz w:val="24"/>
          <w:szCs w:val="24"/>
        </w:rPr>
        <w:t xml:space="preserve">Leave-one-out cross-validation was performed to evaluate the predictive value of Aβ as a surrogate endpoint for CDR-SOB. The Daniels and Hughes model showed a good coverage with 95% of the predicted intervals including the observed estimates of the effects on CDR-SOB. The average absolute difference between the observed and predicted effect estimates was 0.32, and the average ratio of the width of intervals between the predicted and observed treatment effect was 1.24. A forest plot showing the observed effects and predicted effects of CDR-SOB for each study are presented in </w:t>
      </w:r>
      <w:r w:rsidR="00BC3A1A" w:rsidRPr="005C429C">
        <w:rPr>
          <w:rFonts w:ascii="Times New Roman" w:hAnsi="Times New Roman" w:cs="Times New Roman"/>
          <w:sz w:val="24"/>
          <w:szCs w:val="24"/>
        </w:rPr>
        <w:t>Figure S</w:t>
      </w:r>
      <w:r w:rsidRPr="005C429C">
        <w:rPr>
          <w:rFonts w:ascii="Times New Roman" w:hAnsi="Times New Roman" w:cs="Times New Roman"/>
          <w:sz w:val="24"/>
          <w:szCs w:val="24"/>
        </w:rPr>
        <w:t>1.</w:t>
      </w:r>
    </w:p>
    <w:p w14:paraId="6CCFD6D2" w14:textId="64032AA5" w:rsidR="00023DAC" w:rsidRPr="005C429C" w:rsidRDefault="00023DAC" w:rsidP="00DB55E9">
      <w:pPr>
        <w:pStyle w:val="NormalWeb"/>
        <w:jc w:val="both"/>
        <w:rPr>
          <w:sz w:val="22"/>
          <w:szCs w:val="22"/>
        </w:rPr>
      </w:pPr>
      <w:r w:rsidRPr="005C429C">
        <w:rPr>
          <w:noProof/>
        </w:rPr>
        <w:drawing>
          <wp:inline distT="0" distB="0" distL="0" distR="0" wp14:anchorId="7C7129B6" wp14:editId="1C5A379C">
            <wp:extent cx="5731510" cy="3343275"/>
            <wp:effectExtent l="0" t="0" r="2540" b="9525"/>
            <wp:docPr id="21341594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343275"/>
                    </a:xfrm>
                    <a:prstGeom prst="rect">
                      <a:avLst/>
                    </a:prstGeom>
                    <a:noFill/>
                    <a:ln>
                      <a:noFill/>
                    </a:ln>
                  </pic:spPr>
                </pic:pic>
              </a:graphicData>
            </a:graphic>
          </wp:inline>
        </w:drawing>
      </w:r>
      <w:r w:rsidR="00BC3A1A" w:rsidRPr="005C429C">
        <w:rPr>
          <w:sz w:val="22"/>
          <w:szCs w:val="22"/>
        </w:rPr>
        <w:t>Figure S</w:t>
      </w:r>
      <w:r w:rsidRPr="005C429C">
        <w:rPr>
          <w:sz w:val="22"/>
          <w:szCs w:val="22"/>
        </w:rPr>
        <w:t>1. Forest plot illustrating the observed treatment on Clinical Dementia Rating – Sum of Boxes (CDR-SOB) and the corresponding predicted effect on CDR-SOB using Daniels and Hughes model.</w:t>
      </w:r>
    </w:p>
    <w:p w14:paraId="73968124" w14:textId="4D11D1A5" w:rsidR="004445D1" w:rsidRPr="005C429C" w:rsidRDefault="00AD4C3C" w:rsidP="00DB55E9">
      <w:pPr>
        <w:jc w:val="both"/>
        <w:rPr>
          <w:rFonts w:ascii="Times New Roman" w:hAnsi="Times New Roman" w:cs="Times New Roman"/>
          <w:sz w:val="24"/>
          <w:szCs w:val="24"/>
        </w:rPr>
      </w:pPr>
      <w:r w:rsidRPr="005C429C">
        <w:rPr>
          <w:rFonts w:ascii="Times New Roman" w:hAnsi="Times New Roman" w:cs="Times New Roman"/>
          <w:sz w:val="24"/>
          <w:szCs w:val="24"/>
        </w:rPr>
        <w:t>Appendix C</w:t>
      </w:r>
      <w:r w:rsidR="00023DAC" w:rsidRPr="005C429C">
        <w:rPr>
          <w:rFonts w:ascii="Times New Roman" w:hAnsi="Times New Roman" w:cs="Times New Roman"/>
          <w:sz w:val="24"/>
          <w:szCs w:val="24"/>
        </w:rPr>
        <w:t>2</w:t>
      </w:r>
      <w:r w:rsidR="004445D1" w:rsidRPr="005C429C">
        <w:rPr>
          <w:rFonts w:ascii="Times New Roman" w:hAnsi="Times New Roman" w:cs="Times New Roman"/>
          <w:sz w:val="24"/>
          <w:szCs w:val="24"/>
        </w:rPr>
        <w:t xml:space="preserve">. </w:t>
      </w:r>
      <w:r w:rsidR="00023DAC" w:rsidRPr="005C429C">
        <w:rPr>
          <w:rFonts w:ascii="Times New Roman" w:hAnsi="Times New Roman" w:cs="Times New Roman"/>
          <w:sz w:val="24"/>
          <w:szCs w:val="24"/>
        </w:rPr>
        <w:t>Further a</w:t>
      </w:r>
      <w:r w:rsidR="004445D1" w:rsidRPr="005C429C">
        <w:rPr>
          <w:rFonts w:ascii="Times New Roman" w:hAnsi="Times New Roman" w:cs="Times New Roman"/>
          <w:sz w:val="24"/>
          <w:szCs w:val="24"/>
        </w:rPr>
        <w:t>nalyses for evaluating surrogate relationship across all trials of MABs</w:t>
      </w:r>
    </w:p>
    <w:p w14:paraId="5F455173" w14:textId="60291AC7" w:rsidR="00A13436" w:rsidRPr="005C429C" w:rsidRDefault="00215521" w:rsidP="00DB55E9">
      <w:pPr>
        <w:jc w:val="both"/>
        <w:rPr>
          <w:rFonts w:ascii="Times New Roman" w:hAnsi="Times New Roman" w:cs="Times New Roman"/>
        </w:rPr>
      </w:pPr>
      <w:r w:rsidRPr="005C429C">
        <w:rPr>
          <w:rFonts w:ascii="Times New Roman" w:hAnsi="Times New Roman" w:cs="Times New Roman"/>
        </w:rPr>
        <w:t>A</w:t>
      </w:r>
      <w:r w:rsidR="004445D1" w:rsidRPr="005C429C">
        <w:rPr>
          <w:rFonts w:ascii="Times New Roman" w:hAnsi="Times New Roman" w:cs="Times New Roman"/>
        </w:rPr>
        <w:t>nalyses were</w:t>
      </w:r>
      <w:r w:rsidRPr="005C429C">
        <w:rPr>
          <w:rFonts w:ascii="Times New Roman" w:hAnsi="Times New Roman" w:cs="Times New Roman"/>
        </w:rPr>
        <w:t xml:space="preserve"> also</w:t>
      </w:r>
      <w:r w:rsidR="004445D1" w:rsidRPr="005C429C">
        <w:rPr>
          <w:rFonts w:ascii="Times New Roman" w:hAnsi="Times New Roman" w:cs="Times New Roman"/>
        </w:rPr>
        <w:t xml:space="preserve"> conducted to explore the </w:t>
      </w:r>
      <w:r w:rsidR="002C4223" w:rsidRPr="005C429C">
        <w:rPr>
          <w:rFonts w:ascii="Times New Roman" w:hAnsi="Times New Roman" w:cs="Times New Roman"/>
        </w:rPr>
        <w:t xml:space="preserve">overall </w:t>
      </w:r>
      <w:r w:rsidR="004445D1" w:rsidRPr="005C429C">
        <w:rPr>
          <w:rFonts w:ascii="Times New Roman" w:hAnsi="Times New Roman" w:cs="Times New Roman"/>
        </w:rPr>
        <w:t xml:space="preserve">surrogate relationship between treatment effects on </w:t>
      </w:r>
      <w:r w:rsidR="000E15EC" w:rsidRPr="005C429C">
        <w:rPr>
          <w:rFonts w:ascii="Times New Roman" w:hAnsi="Times New Roman" w:cs="Times New Roman"/>
        </w:rPr>
        <w:t>Aβ</w:t>
      </w:r>
      <w:r w:rsidR="004445D1" w:rsidRPr="005C429C">
        <w:rPr>
          <w:rFonts w:ascii="Times New Roman" w:hAnsi="Times New Roman" w:cs="Times New Roman"/>
        </w:rPr>
        <w:t xml:space="preserve"> SUVR and </w:t>
      </w:r>
      <w:r w:rsidR="002C4223" w:rsidRPr="005C429C">
        <w:rPr>
          <w:rFonts w:ascii="Times New Roman" w:hAnsi="Times New Roman" w:cs="Times New Roman"/>
        </w:rPr>
        <w:t xml:space="preserve">other </w:t>
      </w:r>
      <w:r w:rsidR="004445D1" w:rsidRPr="005C429C">
        <w:rPr>
          <w:rFonts w:ascii="Times New Roman" w:hAnsi="Times New Roman" w:cs="Times New Roman"/>
        </w:rPr>
        <w:t>c</w:t>
      </w:r>
      <w:r w:rsidR="00972341" w:rsidRPr="005C429C">
        <w:rPr>
          <w:rFonts w:ascii="Times New Roman" w:hAnsi="Times New Roman" w:cs="Times New Roman"/>
        </w:rPr>
        <w:t>linical outcomes</w:t>
      </w:r>
      <w:r w:rsidR="004445D1" w:rsidRPr="005C429C">
        <w:rPr>
          <w:rFonts w:ascii="Times New Roman" w:hAnsi="Times New Roman" w:cs="Times New Roman"/>
        </w:rPr>
        <w:t>.</w:t>
      </w:r>
      <w:r w:rsidR="00215419" w:rsidRPr="005C429C">
        <w:rPr>
          <w:rFonts w:ascii="Times New Roman" w:hAnsi="Times New Roman" w:cs="Times New Roman"/>
        </w:rPr>
        <w:t xml:space="preserve"> </w:t>
      </w:r>
      <w:r w:rsidR="00C55F8F" w:rsidRPr="005C429C">
        <w:rPr>
          <w:rFonts w:ascii="Times New Roman" w:hAnsi="Times New Roman" w:cs="Times New Roman"/>
        </w:rPr>
        <w:t xml:space="preserve">The surrogate relationship between treatment effects on </w:t>
      </w:r>
      <w:r w:rsidR="000E15EC" w:rsidRPr="005C429C">
        <w:rPr>
          <w:rFonts w:ascii="Times New Roman" w:hAnsi="Times New Roman" w:cs="Times New Roman"/>
        </w:rPr>
        <w:t>Aβ</w:t>
      </w:r>
      <w:r w:rsidR="00C55F8F" w:rsidRPr="005C429C">
        <w:rPr>
          <w:rFonts w:ascii="Times New Roman" w:hAnsi="Times New Roman" w:cs="Times New Roman"/>
        </w:rPr>
        <w:t xml:space="preserve"> SUVR and ADAS-Cog was</w:t>
      </w:r>
      <w:r w:rsidR="00972341" w:rsidRPr="005C429C">
        <w:rPr>
          <w:rFonts w:ascii="Times New Roman" w:hAnsi="Times New Roman" w:cs="Times New Roman"/>
        </w:rPr>
        <w:t xml:space="preserve"> estimated to be weak</w:t>
      </w:r>
      <w:bookmarkStart w:id="1" w:name="_Hlk174809451"/>
      <w:r w:rsidR="00C55F8F" w:rsidRPr="005C429C">
        <w:rPr>
          <w:rFonts w:ascii="Times New Roman" w:hAnsi="Times New Roman" w:cs="Times New Roman"/>
        </w:rPr>
        <w:t>, with slope 3.</w:t>
      </w:r>
      <w:r w:rsidR="00AD57B5" w:rsidRPr="005C429C">
        <w:rPr>
          <w:rFonts w:ascii="Times New Roman" w:hAnsi="Times New Roman" w:cs="Times New Roman"/>
        </w:rPr>
        <w:t>71</w:t>
      </w:r>
      <w:r w:rsidR="00C55F8F" w:rsidRPr="005C429C">
        <w:rPr>
          <w:rFonts w:ascii="Times New Roman" w:hAnsi="Times New Roman" w:cs="Times New Roman"/>
        </w:rPr>
        <w:t xml:space="preserve"> (95% CrI: 1.</w:t>
      </w:r>
      <w:r w:rsidR="00AD57B5" w:rsidRPr="005C429C">
        <w:rPr>
          <w:rFonts w:ascii="Times New Roman" w:hAnsi="Times New Roman" w:cs="Times New Roman"/>
        </w:rPr>
        <w:t>4</w:t>
      </w:r>
      <w:r w:rsidR="00C55F8F" w:rsidRPr="005C429C">
        <w:rPr>
          <w:rFonts w:ascii="Times New Roman" w:hAnsi="Times New Roman" w:cs="Times New Roman"/>
        </w:rPr>
        <w:t xml:space="preserve">4, </w:t>
      </w:r>
      <w:r w:rsidR="00AD57B5" w:rsidRPr="005C429C">
        <w:rPr>
          <w:rFonts w:ascii="Times New Roman" w:hAnsi="Times New Roman" w:cs="Times New Roman"/>
        </w:rPr>
        <w:t>6</w:t>
      </w:r>
      <w:r w:rsidR="00C55F8F" w:rsidRPr="005C429C">
        <w:rPr>
          <w:rFonts w:ascii="Times New Roman" w:hAnsi="Times New Roman" w:cs="Times New Roman"/>
        </w:rPr>
        <w:t>.</w:t>
      </w:r>
      <w:r w:rsidR="00AD57B5" w:rsidRPr="005C429C">
        <w:rPr>
          <w:rFonts w:ascii="Times New Roman" w:hAnsi="Times New Roman" w:cs="Times New Roman"/>
        </w:rPr>
        <w:t>05</w:t>
      </w:r>
      <w:r w:rsidR="00C55F8F" w:rsidRPr="005C429C">
        <w:rPr>
          <w:rFonts w:ascii="Times New Roman" w:hAnsi="Times New Roman" w:cs="Times New Roman"/>
        </w:rPr>
        <w:t xml:space="preserve">) and 0.06 (95% CrI: 0, 0.28). </w:t>
      </w:r>
      <w:bookmarkEnd w:id="1"/>
      <w:r w:rsidR="00BB2B5C" w:rsidRPr="005C429C">
        <w:rPr>
          <w:rFonts w:ascii="Times New Roman" w:hAnsi="Times New Roman" w:cs="Times New Roman"/>
        </w:rPr>
        <w:t xml:space="preserve">This analysis is based on data extracted from 20 studies </w:t>
      </w:r>
      <w:r w:rsidR="001F45A5" w:rsidRPr="005C429C">
        <w:rPr>
          <w:rFonts w:ascii="Times New Roman" w:hAnsi="Times New Roman" w:cs="Times New Roman"/>
        </w:rPr>
        <w:t xml:space="preserve">(31 treatment contrasts) </w:t>
      </w:r>
      <w:r w:rsidR="00BB2B5C" w:rsidRPr="005C429C">
        <w:rPr>
          <w:rFonts w:ascii="Times New Roman" w:hAnsi="Times New Roman" w:cs="Times New Roman"/>
        </w:rPr>
        <w:t xml:space="preserve">that have collected both treatment effects on </w:t>
      </w:r>
      <w:r w:rsidR="000E15EC" w:rsidRPr="005C429C">
        <w:rPr>
          <w:rFonts w:ascii="Times New Roman" w:hAnsi="Times New Roman" w:cs="Times New Roman"/>
        </w:rPr>
        <w:t>Aβ</w:t>
      </w:r>
      <w:r w:rsidR="00BB2B5C" w:rsidRPr="005C429C">
        <w:rPr>
          <w:rFonts w:ascii="Times New Roman" w:hAnsi="Times New Roman" w:cs="Times New Roman"/>
        </w:rPr>
        <w:t xml:space="preserve"> and ADAS-Cog</w:t>
      </w:r>
      <w:r w:rsidR="00215419" w:rsidRPr="005C429C">
        <w:rPr>
          <w:rFonts w:ascii="Times New Roman" w:hAnsi="Times New Roman" w:cs="Times New Roman"/>
        </w:rPr>
        <w:t xml:space="preserve">. </w:t>
      </w:r>
      <w:r w:rsidR="00BB2B5C" w:rsidRPr="005C429C">
        <w:rPr>
          <w:rFonts w:ascii="Times New Roman" w:hAnsi="Times New Roman" w:cs="Times New Roman"/>
        </w:rPr>
        <w:t>Among the 20 include</w:t>
      </w:r>
      <w:r w:rsidR="00F42E03" w:rsidRPr="005C429C">
        <w:rPr>
          <w:rFonts w:ascii="Times New Roman" w:hAnsi="Times New Roman" w:cs="Times New Roman"/>
        </w:rPr>
        <w:t>d</w:t>
      </w:r>
      <w:r w:rsidR="00BB2B5C" w:rsidRPr="005C429C">
        <w:rPr>
          <w:rFonts w:ascii="Times New Roman" w:hAnsi="Times New Roman" w:cs="Times New Roman"/>
        </w:rPr>
        <w:t xml:space="preserve"> studies, five studies reported ADAS-Cog11, two studies reported ADAS-Cog12, eight studies reported ADAS-Cog13 and five studies reported ADAS-Cog14.</w:t>
      </w:r>
      <w:r w:rsidR="00215419" w:rsidRPr="005C429C">
        <w:rPr>
          <w:rFonts w:ascii="Times New Roman" w:hAnsi="Times New Roman" w:cs="Times New Roman"/>
        </w:rPr>
        <w:t xml:space="preserve"> </w:t>
      </w:r>
      <w:r w:rsidR="00A13436" w:rsidRPr="005C429C">
        <w:rPr>
          <w:rFonts w:ascii="Times New Roman" w:hAnsi="Times New Roman" w:cs="Times New Roman"/>
        </w:rPr>
        <w:t xml:space="preserve">13 studies </w:t>
      </w:r>
      <w:r w:rsidR="001F45A5" w:rsidRPr="005C429C">
        <w:rPr>
          <w:rFonts w:ascii="Times New Roman" w:hAnsi="Times New Roman" w:cs="Times New Roman"/>
        </w:rPr>
        <w:t xml:space="preserve">with 22 contrasts </w:t>
      </w:r>
      <w:r w:rsidR="00A13436" w:rsidRPr="005C429C">
        <w:rPr>
          <w:rFonts w:ascii="Times New Roman" w:hAnsi="Times New Roman" w:cs="Times New Roman"/>
        </w:rPr>
        <w:t xml:space="preserve">reported both treatment effects on </w:t>
      </w:r>
      <w:r w:rsidR="000E15EC" w:rsidRPr="005C429C">
        <w:rPr>
          <w:rFonts w:ascii="Times New Roman" w:hAnsi="Times New Roman" w:cs="Times New Roman"/>
        </w:rPr>
        <w:t>Aβ</w:t>
      </w:r>
      <w:r w:rsidR="00A13436" w:rsidRPr="005C429C">
        <w:rPr>
          <w:rFonts w:ascii="Times New Roman" w:hAnsi="Times New Roman" w:cs="Times New Roman"/>
        </w:rPr>
        <w:t xml:space="preserve"> and MMSE. </w:t>
      </w:r>
      <w:r w:rsidR="00C55F8F" w:rsidRPr="005C429C">
        <w:rPr>
          <w:rFonts w:ascii="Times New Roman" w:hAnsi="Times New Roman" w:cs="Times New Roman"/>
        </w:rPr>
        <w:t xml:space="preserve">The surrogate relationship between treatment effects on </w:t>
      </w:r>
      <w:r w:rsidR="000E15EC" w:rsidRPr="005C429C">
        <w:rPr>
          <w:rFonts w:ascii="Times New Roman" w:hAnsi="Times New Roman" w:cs="Times New Roman"/>
        </w:rPr>
        <w:t>Aβ</w:t>
      </w:r>
      <w:r w:rsidR="00C55F8F" w:rsidRPr="005C429C">
        <w:rPr>
          <w:rFonts w:ascii="Times New Roman" w:hAnsi="Times New Roman" w:cs="Times New Roman"/>
        </w:rPr>
        <w:t xml:space="preserve"> SUVR and MMSE was </w:t>
      </w:r>
      <w:r w:rsidR="00A13436" w:rsidRPr="005C429C">
        <w:rPr>
          <w:rFonts w:ascii="Times New Roman" w:hAnsi="Times New Roman" w:cs="Times New Roman"/>
        </w:rPr>
        <w:t>uncertain</w:t>
      </w:r>
      <w:r w:rsidR="00C55F8F" w:rsidRPr="005C429C">
        <w:rPr>
          <w:rFonts w:ascii="Times New Roman" w:hAnsi="Times New Roman" w:cs="Times New Roman"/>
        </w:rPr>
        <w:t>,</w:t>
      </w:r>
      <w:r w:rsidR="00A13436" w:rsidRPr="005C429C">
        <w:rPr>
          <w:rFonts w:ascii="Times New Roman" w:hAnsi="Times New Roman" w:cs="Times New Roman"/>
        </w:rPr>
        <w:t xml:space="preserve"> with slope -</w:t>
      </w:r>
      <w:r w:rsidR="00AD57B5" w:rsidRPr="005C429C">
        <w:rPr>
          <w:rFonts w:ascii="Times New Roman" w:hAnsi="Times New Roman" w:cs="Times New Roman"/>
        </w:rPr>
        <w:t>1.14</w:t>
      </w:r>
      <w:r w:rsidR="00A13436" w:rsidRPr="005C429C">
        <w:rPr>
          <w:rFonts w:ascii="Times New Roman" w:hAnsi="Times New Roman" w:cs="Times New Roman"/>
        </w:rPr>
        <w:t xml:space="preserve"> (95% CrI: -2.</w:t>
      </w:r>
      <w:r w:rsidR="00AD57B5" w:rsidRPr="005C429C">
        <w:rPr>
          <w:rFonts w:ascii="Times New Roman" w:hAnsi="Times New Roman" w:cs="Times New Roman"/>
        </w:rPr>
        <w:t>84</w:t>
      </w:r>
      <w:r w:rsidR="00A13436" w:rsidRPr="005C429C">
        <w:rPr>
          <w:rFonts w:ascii="Times New Roman" w:hAnsi="Times New Roman" w:cs="Times New Roman"/>
        </w:rPr>
        <w:t>, 0.</w:t>
      </w:r>
      <w:r w:rsidR="00AD57B5" w:rsidRPr="005C429C">
        <w:rPr>
          <w:rFonts w:ascii="Times New Roman" w:hAnsi="Times New Roman" w:cs="Times New Roman"/>
        </w:rPr>
        <w:t>49</w:t>
      </w:r>
      <w:r w:rsidR="00A13436" w:rsidRPr="005C429C">
        <w:rPr>
          <w:rFonts w:ascii="Times New Roman" w:hAnsi="Times New Roman" w:cs="Times New Roman"/>
        </w:rPr>
        <w:t>) and conditional variance 0.06 (95% CrI: 0, 0.2</w:t>
      </w:r>
      <w:r w:rsidR="00AD57B5" w:rsidRPr="005C429C">
        <w:rPr>
          <w:rFonts w:ascii="Times New Roman" w:hAnsi="Times New Roman" w:cs="Times New Roman"/>
        </w:rPr>
        <w:t>3</w:t>
      </w:r>
      <w:r w:rsidR="00A13436" w:rsidRPr="005C429C">
        <w:rPr>
          <w:rFonts w:ascii="Times New Roman" w:hAnsi="Times New Roman" w:cs="Times New Roman"/>
        </w:rPr>
        <w:t>).</w:t>
      </w:r>
      <w:r w:rsidR="00215419" w:rsidRPr="005C429C">
        <w:rPr>
          <w:rFonts w:ascii="Times New Roman" w:hAnsi="Times New Roman" w:cs="Times New Roman"/>
        </w:rPr>
        <w:t xml:space="preserve"> The bubble plot and regression line are presented in </w:t>
      </w:r>
      <w:r w:rsidR="00BC3A1A" w:rsidRPr="005C429C">
        <w:rPr>
          <w:rFonts w:ascii="Times New Roman" w:hAnsi="Times New Roman" w:cs="Times New Roman"/>
        </w:rPr>
        <w:t>Figure S</w:t>
      </w:r>
      <w:r w:rsidR="00023DAC" w:rsidRPr="005C429C">
        <w:rPr>
          <w:rFonts w:ascii="Times New Roman" w:hAnsi="Times New Roman" w:cs="Times New Roman"/>
        </w:rPr>
        <w:t>2</w:t>
      </w:r>
      <w:r w:rsidR="00215419" w:rsidRPr="005C429C">
        <w:rPr>
          <w:rFonts w:ascii="Times New Roman" w:hAnsi="Times New Roman" w:cs="Times New Roman"/>
        </w:rPr>
        <w:t xml:space="preserve"> and </w:t>
      </w:r>
      <w:r w:rsidR="00BC3A1A" w:rsidRPr="005C429C">
        <w:rPr>
          <w:rFonts w:ascii="Times New Roman" w:hAnsi="Times New Roman" w:cs="Times New Roman"/>
        </w:rPr>
        <w:t>Figure S</w:t>
      </w:r>
      <w:r w:rsidR="00023DAC" w:rsidRPr="005C429C">
        <w:rPr>
          <w:rFonts w:ascii="Times New Roman" w:hAnsi="Times New Roman" w:cs="Times New Roman"/>
        </w:rPr>
        <w:t>3</w:t>
      </w:r>
      <w:r w:rsidR="00215419" w:rsidRPr="005C429C">
        <w:rPr>
          <w:rFonts w:ascii="Times New Roman" w:hAnsi="Times New Roman" w:cs="Times New Roman"/>
        </w:rPr>
        <w:t xml:space="preserve"> respectively.</w:t>
      </w:r>
    </w:p>
    <w:p w14:paraId="1B0CFD93" w14:textId="04E9C21F" w:rsidR="00B04945" w:rsidRPr="005C429C" w:rsidRDefault="00A13436" w:rsidP="00DB55E9">
      <w:pPr>
        <w:jc w:val="both"/>
        <w:rPr>
          <w:rFonts w:ascii="Times New Roman" w:hAnsi="Times New Roman" w:cs="Times New Roman"/>
        </w:rPr>
      </w:pPr>
      <w:r w:rsidRPr="005C429C">
        <w:rPr>
          <w:rFonts w:ascii="Times New Roman" w:hAnsi="Times New Roman" w:cs="Times New Roman"/>
        </w:rPr>
        <w:lastRenderedPageBreak/>
        <w:t xml:space="preserve">When the treatment effects </w:t>
      </w:r>
      <w:r w:rsidR="000E15EC" w:rsidRPr="005C429C">
        <w:rPr>
          <w:rFonts w:ascii="Times New Roman" w:hAnsi="Times New Roman" w:cs="Times New Roman"/>
        </w:rPr>
        <w:t>wer</w:t>
      </w:r>
      <w:r w:rsidRPr="005C429C">
        <w:rPr>
          <w:rFonts w:ascii="Times New Roman" w:hAnsi="Times New Roman" w:cs="Times New Roman"/>
        </w:rPr>
        <w:t>e reported at the same time, t</w:t>
      </w:r>
      <w:r w:rsidR="002C4223" w:rsidRPr="005C429C">
        <w:rPr>
          <w:rFonts w:ascii="Times New Roman" w:hAnsi="Times New Roman" w:cs="Times New Roman"/>
        </w:rPr>
        <w:t xml:space="preserve">he surrogate relationship between </w:t>
      </w:r>
      <w:r w:rsidR="0049794E" w:rsidRPr="005C429C">
        <w:rPr>
          <w:rFonts w:ascii="Times New Roman" w:hAnsi="Times New Roman" w:cs="Times New Roman"/>
        </w:rPr>
        <w:t xml:space="preserve">Aβ </w:t>
      </w:r>
      <w:r w:rsidR="002C4223" w:rsidRPr="005C429C">
        <w:rPr>
          <w:rFonts w:ascii="Times New Roman" w:hAnsi="Times New Roman" w:cs="Times New Roman"/>
        </w:rPr>
        <w:t>SUVR and CDR-</w:t>
      </w:r>
      <w:r w:rsidRPr="005C429C">
        <w:rPr>
          <w:rFonts w:ascii="Times New Roman" w:hAnsi="Times New Roman" w:cs="Times New Roman"/>
        </w:rPr>
        <w:t>SOB was</w:t>
      </w:r>
      <w:r w:rsidR="002C4223" w:rsidRPr="005C429C">
        <w:rPr>
          <w:rFonts w:ascii="Times New Roman" w:hAnsi="Times New Roman" w:cs="Times New Roman"/>
        </w:rPr>
        <w:t xml:space="preserve"> </w:t>
      </w:r>
      <w:r w:rsidRPr="005C429C">
        <w:rPr>
          <w:rFonts w:ascii="Times New Roman" w:hAnsi="Times New Roman" w:cs="Times New Roman"/>
        </w:rPr>
        <w:t xml:space="preserve">also </w:t>
      </w:r>
      <w:r w:rsidR="002C4223" w:rsidRPr="005C429C">
        <w:rPr>
          <w:rFonts w:ascii="Times New Roman" w:hAnsi="Times New Roman" w:cs="Times New Roman"/>
        </w:rPr>
        <w:t>strong, with slope 0.</w:t>
      </w:r>
      <w:r w:rsidR="00AD57B5" w:rsidRPr="005C429C">
        <w:rPr>
          <w:rFonts w:ascii="Times New Roman" w:hAnsi="Times New Roman" w:cs="Times New Roman"/>
        </w:rPr>
        <w:t>93</w:t>
      </w:r>
      <w:r w:rsidR="002C4223" w:rsidRPr="005C429C">
        <w:rPr>
          <w:rFonts w:ascii="Times New Roman" w:hAnsi="Times New Roman" w:cs="Times New Roman"/>
        </w:rPr>
        <w:t xml:space="preserve"> (95% CrI: 0.4, 1.4</w:t>
      </w:r>
      <w:r w:rsidR="00AD57B5" w:rsidRPr="005C429C">
        <w:rPr>
          <w:rFonts w:ascii="Times New Roman" w:hAnsi="Times New Roman" w:cs="Times New Roman"/>
        </w:rPr>
        <w:t>7</w:t>
      </w:r>
      <w:r w:rsidR="002C4223" w:rsidRPr="005C429C">
        <w:rPr>
          <w:rFonts w:ascii="Times New Roman" w:hAnsi="Times New Roman" w:cs="Times New Roman"/>
        </w:rPr>
        <w:t>) and conditional variance 0.02 (95% CrI: 0, 0.0</w:t>
      </w:r>
      <w:r w:rsidR="00AD57B5" w:rsidRPr="005C429C">
        <w:rPr>
          <w:rFonts w:ascii="Times New Roman" w:hAnsi="Times New Roman" w:cs="Times New Roman"/>
        </w:rPr>
        <w:t>5</w:t>
      </w:r>
      <w:r w:rsidR="002C4223" w:rsidRPr="005C429C">
        <w:rPr>
          <w:rFonts w:ascii="Times New Roman" w:hAnsi="Times New Roman" w:cs="Times New Roman"/>
        </w:rPr>
        <w:t>).</w:t>
      </w:r>
      <w:r w:rsidR="00C55F8F" w:rsidRPr="005C429C">
        <w:rPr>
          <w:rFonts w:ascii="Times New Roman" w:hAnsi="Times New Roman" w:cs="Times New Roman"/>
        </w:rPr>
        <w:t xml:space="preserve"> The bubble plot and regression line are presented in </w:t>
      </w:r>
      <w:r w:rsidR="00BC3A1A" w:rsidRPr="005C429C">
        <w:rPr>
          <w:rFonts w:ascii="Times New Roman" w:hAnsi="Times New Roman" w:cs="Times New Roman"/>
        </w:rPr>
        <w:t>Figure S</w:t>
      </w:r>
      <w:r w:rsidR="00023DAC" w:rsidRPr="005C429C">
        <w:rPr>
          <w:rFonts w:ascii="Times New Roman" w:hAnsi="Times New Roman" w:cs="Times New Roman"/>
        </w:rPr>
        <w:t>4</w:t>
      </w:r>
      <w:r w:rsidR="00C55F8F" w:rsidRPr="005C429C">
        <w:rPr>
          <w:rFonts w:ascii="Times New Roman" w:hAnsi="Times New Roman" w:cs="Times New Roman"/>
        </w:rPr>
        <w:t xml:space="preserve">. </w:t>
      </w:r>
      <w:r w:rsidR="000E15EC" w:rsidRPr="005C429C">
        <w:rPr>
          <w:rFonts w:ascii="Times New Roman" w:hAnsi="Times New Roman" w:cs="Times New Roman"/>
        </w:rPr>
        <w:t>In some trials, Aβ</w:t>
      </w:r>
      <w:r w:rsidR="00B04945" w:rsidRPr="005C429C">
        <w:rPr>
          <w:rFonts w:ascii="Times New Roman" w:hAnsi="Times New Roman" w:cs="Times New Roman"/>
        </w:rPr>
        <w:t xml:space="preserve"> </w:t>
      </w:r>
      <w:r w:rsidR="000E15EC" w:rsidRPr="005C429C">
        <w:rPr>
          <w:rFonts w:ascii="Times New Roman" w:hAnsi="Times New Roman" w:cs="Times New Roman"/>
        </w:rPr>
        <w:t>levels were</w:t>
      </w:r>
      <w:r w:rsidR="00B04945" w:rsidRPr="005C429C">
        <w:rPr>
          <w:rFonts w:ascii="Times New Roman" w:hAnsi="Times New Roman" w:cs="Times New Roman"/>
        </w:rPr>
        <w:t xml:space="preserve"> measured on a centiloid scale instead</w:t>
      </w:r>
      <w:r w:rsidR="000E15EC" w:rsidRPr="005C429C">
        <w:rPr>
          <w:rFonts w:ascii="Times New Roman" w:hAnsi="Times New Roman" w:cs="Times New Roman"/>
        </w:rPr>
        <w:t xml:space="preserve"> of</w:t>
      </w:r>
      <w:r w:rsidR="00B04945" w:rsidRPr="005C429C">
        <w:rPr>
          <w:rFonts w:ascii="Times New Roman" w:hAnsi="Times New Roman" w:cs="Times New Roman"/>
        </w:rPr>
        <w:t xml:space="preserve"> the SUVR scale. </w:t>
      </w:r>
      <w:r w:rsidR="000E15EC" w:rsidRPr="005C429C">
        <w:rPr>
          <w:rFonts w:ascii="Times New Roman" w:hAnsi="Times New Roman" w:cs="Times New Roman"/>
        </w:rPr>
        <w:t>The</w:t>
      </w:r>
      <w:r w:rsidR="00823F6E" w:rsidRPr="005C429C">
        <w:rPr>
          <w:rFonts w:ascii="Times New Roman" w:hAnsi="Times New Roman" w:cs="Times New Roman"/>
        </w:rPr>
        <w:t xml:space="preserve"> surrogate relationship </w:t>
      </w:r>
      <w:r w:rsidR="000E15EC" w:rsidRPr="005C429C">
        <w:rPr>
          <w:rFonts w:ascii="Times New Roman" w:hAnsi="Times New Roman" w:cs="Times New Roman"/>
        </w:rPr>
        <w:t xml:space="preserve">between </w:t>
      </w:r>
      <w:r w:rsidR="00823F6E" w:rsidRPr="005C429C">
        <w:rPr>
          <w:rFonts w:ascii="Times New Roman" w:hAnsi="Times New Roman" w:cs="Times New Roman"/>
        </w:rPr>
        <w:t xml:space="preserve">treatment effects on </w:t>
      </w:r>
      <w:r w:rsidR="000E15EC" w:rsidRPr="005C429C">
        <w:rPr>
          <w:rFonts w:ascii="Times New Roman" w:hAnsi="Times New Roman" w:cs="Times New Roman"/>
        </w:rPr>
        <w:t>Aβ</w:t>
      </w:r>
      <w:r w:rsidR="00823F6E" w:rsidRPr="005C429C">
        <w:rPr>
          <w:rFonts w:ascii="Times New Roman" w:hAnsi="Times New Roman" w:cs="Times New Roman"/>
        </w:rPr>
        <w:t xml:space="preserve"> using centiloid measure and CDR-SOB was found to be </w:t>
      </w:r>
      <w:r w:rsidR="00215521" w:rsidRPr="005C429C">
        <w:rPr>
          <w:rFonts w:ascii="Times New Roman" w:hAnsi="Times New Roman" w:cs="Times New Roman"/>
        </w:rPr>
        <w:t>strong</w:t>
      </w:r>
      <w:r w:rsidR="00823F6E" w:rsidRPr="005C429C">
        <w:rPr>
          <w:rFonts w:ascii="Times New Roman" w:hAnsi="Times New Roman" w:cs="Times New Roman"/>
        </w:rPr>
        <w:t>, with slope 0.01 (95% CrI: 0, 0.01) and conditional variance 0.02 (95% CrI: 0, 0.05)</w:t>
      </w:r>
      <w:r w:rsidR="006E0066" w:rsidRPr="005C429C">
        <w:rPr>
          <w:rFonts w:ascii="Times New Roman" w:hAnsi="Times New Roman" w:cs="Times New Roman"/>
        </w:rPr>
        <w:t xml:space="preserve">. </w:t>
      </w:r>
      <w:r w:rsidR="00AD57B5" w:rsidRPr="005C429C">
        <w:rPr>
          <w:rFonts w:ascii="Times New Roman" w:hAnsi="Times New Roman" w:cs="Times New Roman"/>
        </w:rPr>
        <w:t xml:space="preserve">The bubble plot and regression line are presented in </w:t>
      </w:r>
      <w:r w:rsidR="00BC3A1A" w:rsidRPr="005C429C">
        <w:rPr>
          <w:rFonts w:ascii="Times New Roman" w:hAnsi="Times New Roman" w:cs="Times New Roman"/>
        </w:rPr>
        <w:t>Figure S</w:t>
      </w:r>
      <w:r w:rsidR="00FE369C" w:rsidRPr="005C429C">
        <w:rPr>
          <w:rFonts w:ascii="Times New Roman" w:hAnsi="Times New Roman" w:cs="Times New Roman"/>
        </w:rPr>
        <w:t>5</w:t>
      </w:r>
      <w:r w:rsidR="00AD57B5" w:rsidRPr="005C429C">
        <w:rPr>
          <w:rFonts w:ascii="Times New Roman" w:hAnsi="Times New Roman" w:cs="Times New Roman"/>
        </w:rPr>
        <w:t>.</w:t>
      </w:r>
      <w:r w:rsidR="000E15EC" w:rsidRPr="005C429C">
        <w:rPr>
          <w:rFonts w:ascii="Times New Roman" w:hAnsi="Times New Roman" w:cs="Times New Roman"/>
        </w:rPr>
        <w:t xml:space="preserve"> S</w:t>
      </w:r>
      <w:r w:rsidR="00215521" w:rsidRPr="005C429C">
        <w:rPr>
          <w:rFonts w:ascii="Times New Roman" w:hAnsi="Times New Roman" w:cs="Times New Roman"/>
        </w:rPr>
        <w:t>ix studies</w:t>
      </w:r>
      <w:r w:rsidR="000E15EC" w:rsidRPr="005C429C">
        <w:rPr>
          <w:rFonts w:ascii="Times New Roman" w:hAnsi="Times New Roman" w:cs="Times New Roman"/>
        </w:rPr>
        <w:t xml:space="preserve"> were identified with</w:t>
      </w:r>
      <w:r w:rsidR="00215521" w:rsidRPr="005C429C">
        <w:rPr>
          <w:rFonts w:ascii="Times New Roman" w:hAnsi="Times New Roman" w:cs="Times New Roman"/>
        </w:rPr>
        <w:t xml:space="preserve"> both treatment effects on </w:t>
      </w:r>
      <w:r w:rsidR="000E15EC" w:rsidRPr="005C429C">
        <w:rPr>
          <w:rFonts w:ascii="Times New Roman" w:hAnsi="Times New Roman" w:cs="Times New Roman"/>
        </w:rPr>
        <w:t>Aβ</w:t>
      </w:r>
      <w:r w:rsidR="00215521" w:rsidRPr="005C429C">
        <w:rPr>
          <w:rFonts w:ascii="Times New Roman" w:hAnsi="Times New Roman" w:cs="Times New Roman"/>
        </w:rPr>
        <w:t xml:space="preserve"> centiloids and CDR-SOB </w:t>
      </w:r>
      <w:r w:rsidR="000E15EC" w:rsidRPr="005C429C">
        <w:rPr>
          <w:rFonts w:ascii="Times New Roman" w:hAnsi="Times New Roman" w:cs="Times New Roman"/>
        </w:rPr>
        <w:t>reported</w:t>
      </w:r>
      <w:r w:rsidR="00215521" w:rsidRPr="005C429C">
        <w:rPr>
          <w:rFonts w:ascii="Times New Roman" w:hAnsi="Times New Roman" w:cs="Times New Roman"/>
        </w:rPr>
        <w:t xml:space="preserve">. Despite the limited number of studies included, the surrogate relationship across the six included studies was found to be moderate with slope 0.01 (95% CrI: 0, 0.02) and conditional variance 0.05 (95% CrI: 0, 0.35). The bubble plot and regression line are presented in </w:t>
      </w:r>
      <w:r w:rsidR="00BC3A1A" w:rsidRPr="005C429C">
        <w:rPr>
          <w:rFonts w:ascii="Times New Roman" w:hAnsi="Times New Roman" w:cs="Times New Roman"/>
        </w:rPr>
        <w:t>Figure S</w:t>
      </w:r>
      <w:r w:rsidR="00215521" w:rsidRPr="005C429C">
        <w:rPr>
          <w:rFonts w:ascii="Times New Roman" w:hAnsi="Times New Roman" w:cs="Times New Roman"/>
        </w:rPr>
        <w:t>6.</w:t>
      </w:r>
    </w:p>
    <w:p w14:paraId="236D23E4" w14:textId="7E36419A" w:rsidR="009075A0" w:rsidRPr="005C429C" w:rsidRDefault="009075A0" w:rsidP="00DB55E9">
      <w:pPr>
        <w:pStyle w:val="NormalWeb"/>
        <w:jc w:val="both"/>
      </w:pPr>
      <w:r w:rsidRPr="005C429C">
        <w:rPr>
          <w:noProof/>
        </w:rPr>
        <w:drawing>
          <wp:inline distT="0" distB="0" distL="0" distR="0" wp14:anchorId="63D953B5" wp14:editId="58468B7B">
            <wp:extent cx="5400000" cy="3798203"/>
            <wp:effectExtent l="0" t="0" r="0" b="0"/>
            <wp:docPr id="35286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15482" b="-1913"/>
                    <a:stretch/>
                  </pic:blipFill>
                  <pic:spPr bwMode="auto">
                    <a:xfrm>
                      <a:off x="0" y="0"/>
                      <a:ext cx="5400000" cy="3798203"/>
                    </a:xfrm>
                    <a:prstGeom prst="rect">
                      <a:avLst/>
                    </a:prstGeom>
                    <a:noFill/>
                    <a:ln>
                      <a:noFill/>
                    </a:ln>
                    <a:extLst>
                      <a:ext uri="{53640926-AAD7-44D8-BBD7-CCE9431645EC}">
                        <a14:shadowObscured xmlns:a14="http://schemas.microsoft.com/office/drawing/2010/main"/>
                      </a:ext>
                    </a:extLst>
                  </pic:spPr>
                </pic:pic>
              </a:graphicData>
            </a:graphic>
          </wp:inline>
        </w:drawing>
      </w:r>
    </w:p>
    <w:p w14:paraId="2168E328" w14:textId="33A2334E" w:rsidR="00215419" w:rsidRPr="005C429C" w:rsidRDefault="00BC3A1A" w:rsidP="00DB55E9">
      <w:pPr>
        <w:jc w:val="both"/>
        <w:rPr>
          <w:rFonts w:ascii="Times New Roman" w:hAnsi="Times New Roman" w:cs="Times New Roman"/>
        </w:rPr>
      </w:pPr>
      <w:r w:rsidRPr="005C429C">
        <w:rPr>
          <w:rFonts w:ascii="Times New Roman" w:hAnsi="Times New Roman" w:cs="Times New Roman"/>
        </w:rPr>
        <w:t>Figure S</w:t>
      </w:r>
      <w:r w:rsidR="00023DAC" w:rsidRPr="005C429C">
        <w:rPr>
          <w:rFonts w:ascii="Times New Roman" w:hAnsi="Times New Roman" w:cs="Times New Roman"/>
        </w:rPr>
        <w:t>2</w:t>
      </w:r>
      <w:r w:rsidR="00215419" w:rsidRPr="005C429C">
        <w:rPr>
          <w:rFonts w:ascii="Times New Roman" w:hAnsi="Times New Roman" w:cs="Times New Roman"/>
        </w:rPr>
        <w:t xml:space="preserve">. Bubble plot of the surrogate relationship between treatment effects on </w:t>
      </w:r>
      <w:r w:rsidR="000E15EC" w:rsidRPr="005C429C">
        <w:rPr>
          <w:rFonts w:ascii="Times New Roman" w:hAnsi="Times New Roman" w:cs="Times New Roman"/>
        </w:rPr>
        <w:t>Aβ</w:t>
      </w:r>
      <w:r w:rsidR="005339FE" w:rsidRPr="005C429C">
        <w:rPr>
          <w:rFonts w:ascii="Times New Roman" w:hAnsi="Times New Roman" w:cs="Times New Roman"/>
        </w:rPr>
        <w:t xml:space="preserve"> standardised uptake value ratio (SUVR)</w:t>
      </w:r>
      <w:r w:rsidR="00215419" w:rsidRPr="005C429C">
        <w:rPr>
          <w:rFonts w:ascii="Times New Roman" w:hAnsi="Times New Roman" w:cs="Times New Roman"/>
        </w:rPr>
        <w:t xml:space="preserve"> and</w:t>
      </w:r>
      <w:r w:rsidR="005339FE" w:rsidRPr="005C429C">
        <w:rPr>
          <w:rFonts w:ascii="Times New Roman" w:hAnsi="Times New Roman" w:cs="Times New Roman"/>
        </w:rPr>
        <w:t xml:space="preserve"> Alzheimer’s Disease Assessment Scale--Cognitive Subscale (ADAS-Cog)</w:t>
      </w:r>
      <w:r w:rsidR="00215419" w:rsidRPr="005C429C">
        <w:rPr>
          <w:rFonts w:ascii="Times New Roman" w:hAnsi="Times New Roman" w:cs="Times New Roman"/>
        </w:rPr>
        <w:t xml:space="preserve"> with treatment effects on </w:t>
      </w:r>
      <w:r w:rsidR="000E15EC" w:rsidRPr="005C429C">
        <w:rPr>
          <w:rFonts w:ascii="Times New Roman" w:hAnsi="Times New Roman" w:cs="Times New Roman"/>
        </w:rPr>
        <w:t>Aβ</w:t>
      </w:r>
      <w:r w:rsidR="00215419" w:rsidRPr="005C429C">
        <w:rPr>
          <w:rFonts w:ascii="Times New Roman" w:hAnsi="Times New Roman" w:cs="Times New Roman"/>
        </w:rPr>
        <w:t xml:space="preserve"> reported at earlier time points. The mean (95% credible intervals) of intercept, slope and conditional variance were obtained from Daniels and Hughes model. The bubble size corresponds to the number of patients with measured cognitive functions.</w:t>
      </w:r>
    </w:p>
    <w:p w14:paraId="7D62E216" w14:textId="427927A1" w:rsidR="003B0AA3" w:rsidRPr="005C429C" w:rsidRDefault="009075A0" w:rsidP="00DB55E9">
      <w:pPr>
        <w:pStyle w:val="NormalWeb"/>
        <w:jc w:val="both"/>
      </w:pPr>
      <w:r w:rsidRPr="005C429C">
        <w:rPr>
          <w:noProof/>
        </w:rPr>
        <w:lastRenderedPageBreak/>
        <w:drawing>
          <wp:inline distT="0" distB="0" distL="0" distR="0" wp14:anchorId="59B6CC2B" wp14:editId="517ADEB1">
            <wp:extent cx="5400000" cy="3710235"/>
            <wp:effectExtent l="0" t="0" r="0" b="5080"/>
            <wp:docPr id="1749141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5102"/>
                    <a:stretch/>
                  </pic:blipFill>
                  <pic:spPr bwMode="auto">
                    <a:xfrm>
                      <a:off x="0" y="0"/>
                      <a:ext cx="5400000" cy="3710235"/>
                    </a:xfrm>
                    <a:prstGeom prst="rect">
                      <a:avLst/>
                    </a:prstGeom>
                    <a:noFill/>
                    <a:ln>
                      <a:noFill/>
                    </a:ln>
                    <a:extLst>
                      <a:ext uri="{53640926-AAD7-44D8-BBD7-CCE9431645EC}">
                        <a14:shadowObscured xmlns:a14="http://schemas.microsoft.com/office/drawing/2010/main"/>
                      </a:ext>
                    </a:extLst>
                  </pic:spPr>
                </pic:pic>
              </a:graphicData>
            </a:graphic>
          </wp:inline>
        </w:drawing>
      </w:r>
    </w:p>
    <w:p w14:paraId="3E5F65E9" w14:textId="6BD17BAB" w:rsidR="003B0AA3" w:rsidRPr="005C429C" w:rsidRDefault="00BC3A1A" w:rsidP="00DB55E9">
      <w:pPr>
        <w:jc w:val="both"/>
        <w:rPr>
          <w:rFonts w:ascii="Times New Roman" w:hAnsi="Times New Roman" w:cs="Times New Roman"/>
        </w:rPr>
      </w:pPr>
      <w:r w:rsidRPr="005C429C">
        <w:rPr>
          <w:rFonts w:ascii="Times New Roman" w:hAnsi="Times New Roman" w:cs="Times New Roman"/>
        </w:rPr>
        <w:t>Figure S</w:t>
      </w:r>
      <w:r w:rsidR="00023DAC" w:rsidRPr="005C429C">
        <w:rPr>
          <w:rFonts w:ascii="Times New Roman" w:hAnsi="Times New Roman" w:cs="Times New Roman"/>
        </w:rPr>
        <w:t>3</w:t>
      </w:r>
      <w:r w:rsidR="003B0AA3" w:rsidRPr="005C429C">
        <w:rPr>
          <w:rFonts w:ascii="Times New Roman" w:hAnsi="Times New Roman" w:cs="Times New Roman"/>
        </w:rPr>
        <w:t xml:space="preserve">. Bubble plot of the surrogate relationship between treatment effects on </w:t>
      </w:r>
      <w:r w:rsidR="000E15EC" w:rsidRPr="005C429C">
        <w:rPr>
          <w:rFonts w:ascii="Times New Roman" w:hAnsi="Times New Roman" w:cs="Times New Roman"/>
        </w:rPr>
        <w:t>Aβ</w:t>
      </w:r>
      <w:r w:rsidR="005339FE" w:rsidRPr="005C429C">
        <w:rPr>
          <w:rFonts w:ascii="Times New Roman" w:hAnsi="Times New Roman" w:cs="Times New Roman"/>
        </w:rPr>
        <w:t xml:space="preserve"> standardised uptake value ratio (SUVR) and Mini Mental State Examination (MMSE)</w:t>
      </w:r>
      <w:r w:rsidR="003B0AA3" w:rsidRPr="005C429C">
        <w:rPr>
          <w:rFonts w:ascii="Times New Roman" w:hAnsi="Times New Roman" w:cs="Times New Roman"/>
        </w:rPr>
        <w:t xml:space="preserve"> with treatment effects on </w:t>
      </w:r>
      <w:r w:rsidR="000E15EC" w:rsidRPr="005C429C">
        <w:rPr>
          <w:rFonts w:ascii="Times New Roman" w:hAnsi="Times New Roman" w:cs="Times New Roman"/>
        </w:rPr>
        <w:t>Aβ</w:t>
      </w:r>
      <w:r w:rsidR="003B0AA3" w:rsidRPr="005C429C">
        <w:rPr>
          <w:rFonts w:ascii="Times New Roman" w:hAnsi="Times New Roman" w:cs="Times New Roman"/>
        </w:rPr>
        <w:t xml:space="preserve"> reported at earlier time points. The mean (95% credible intervals) of intercept, slope and conditional variance were obtained from Daniels and Hughes model. The bubble size corresponds to the number of patients with measured cognitive functions.</w:t>
      </w:r>
    </w:p>
    <w:p w14:paraId="38982DA7" w14:textId="57587379" w:rsidR="009075A0" w:rsidRPr="005C429C" w:rsidRDefault="009075A0" w:rsidP="00DB55E9">
      <w:pPr>
        <w:pStyle w:val="NormalWeb"/>
        <w:jc w:val="both"/>
      </w:pPr>
      <w:r w:rsidRPr="005C429C">
        <w:rPr>
          <w:noProof/>
        </w:rPr>
        <w:drawing>
          <wp:inline distT="0" distB="0" distL="0" distR="0" wp14:anchorId="23596C30" wp14:editId="50E079AA">
            <wp:extent cx="5400000" cy="3726910"/>
            <wp:effectExtent l="0" t="0" r="0" b="6985"/>
            <wp:docPr id="642081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5482"/>
                    <a:stretch/>
                  </pic:blipFill>
                  <pic:spPr bwMode="auto">
                    <a:xfrm>
                      <a:off x="0" y="0"/>
                      <a:ext cx="5400000" cy="3726910"/>
                    </a:xfrm>
                    <a:prstGeom prst="rect">
                      <a:avLst/>
                    </a:prstGeom>
                    <a:noFill/>
                    <a:ln>
                      <a:noFill/>
                    </a:ln>
                    <a:extLst>
                      <a:ext uri="{53640926-AAD7-44D8-BBD7-CCE9431645EC}">
                        <a14:shadowObscured xmlns:a14="http://schemas.microsoft.com/office/drawing/2010/main"/>
                      </a:ext>
                    </a:extLst>
                  </pic:spPr>
                </pic:pic>
              </a:graphicData>
            </a:graphic>
          </wp:inline>
        </w:drawing>
      </w:r>
    </w:p>
    <w:p w14:paraId="57FCFBD5" w14:textId="44FF595E" w:rsidR="001D0BFA" w:rsidRPr="005C429C" w:rsidRDefault="00BC3A1A" w:rsidP="00DB55E9">
      <w:pPr>
        <w:jc w:val="both"/>
        <w:rPr>
          <w:rFonts w:ascii="Times New Roman" w:hAnsi="Times New Roman" w:cs="Times New Roman"/>
        </w:rPr>
      </w:pPr>
      <w:r w:rsidRPr="005C429C">
        <w:rPr>
          <w:rFonts w:ascii="Times New Roman" w:hAnsi="Times New Roman" w:cs="Times New Roman"/>
        </w:rPr>
        <w:lastRenderedPageBreak/>
        <w:t>Figure S</w:t>
      </w:r>
      <w:r w:rsidR="00023DAC" w:rsidRPr="005C429C">
        <w:rPr>
          <w:rFonts w:ascii="Times New Roman" w:hAnsi="Times New Roman" w:cs="Times New Roman"/>
        </w:rPr>
        <w:t>4</w:t>
      </w:r>
      <w:r w:rsidR="001D0BFA" w:rsidRPr="005C429C">
        <w:rPr>
          <w:rFonts w:ascii="Times New Roman" w:hAnsi="Times New Roman" w:cs="Times New Roman"/>
        </w:rPr>
        <w:t>. Bubble plot of the overall surrogate relationships with treatment effects on</w:t>
      </w:r>
      <w:r w:rsidR="003D2C5F" w:rsidRPr="005C429C">
        <w:rPr>
          <w:rFonts w:ascii="Times New Roman" w:hAnsi="Times New Roman" w:cs="Times New Roman"/>
        </w:rPr>
        <w:t xml:space="preserve"> </w:t>
      </w:r>
      <w:r w:rsidR="000E15EC" w:rsidRPr="005C429C">
        <w:rPr>
          <w:rFonts w:ascii="Times New Roman" w:hAnsi="Times New Roman" w:cs="Times New Roman"/>
        </w:rPr>
        <w:t>Aβ</w:t>
      </w:r>
      <w:r w:rsidR="001D0BFA" w:rsidRPr="005C429C">
        <w:rPr>
          <w:rFonts w:ascii="Times New Roman" w:hAnsi="Times New Roman" w:cs="Times New Roman"/>
        </w:rPr>
        <w:t xml:space="preserve"> </w:t>
      </w:r>
      <w:r w:rsidR="005339FE" w:rsidRPr="005C429C">
        <w:rPr>
          <w:rFonts w:ascii="Times New Roman" w:hAnsi="Times New Roman" w:cs="Times New Roman"/>
        </w:rPr>
        <w:t>standardised uptake value ratio (SUVR)</w:t>
      </w:r>
      <w:r w:rsidR="001D0BFA" w:rsidRPr="005C429C">
        <w:rPr>
          <w:rFonts w:ascii="Times New Roman" w:hAnsi="Times New Roman" w:cs="Times New Roman"/>
        </w:rPr>
        <w:t xml:space="preserve"> and </w:t>
      </w:r>
      <w:r w:rsidR="005339FE" w:rsidRPr="005C429C">
        <w:rPr>
          <w:rFonts w:ascii="Times New Roman" w:hAnsi="Times New Roman" w:cs="Times New Roman"/>
        </w:rPr>
        <w:t xml:space="preserve">Clinical Dementia Rating – Sum of Boxes (CDR-SOB) </w:t>
      </w:r>
      <w:r w:rsidR="001D0BFA" w:rsidRPr="005C429C">
        <w:rPr>
          <w:rFonts w:ascii="Times New Roman" w:hAnsi="Times New Roman" w:cs="Times New Roman"/>
        </w:rPr>
        <w:t>reported at the same time. The mean (95% credible intervals) of intercept, slope and conditional variance were obtained from Daniels and Hughes model. The bubble size corresponds to the number of patients with measured cognitive functions.</w:t>
      </w:r>
    </w:p>
    <w:p w14:paraId="0FD7A87F" w14:textId="33CA9642" w:rsidR="00236786" w:rsidRPr="005C429C" w:rsidRDefault="005534A7" w:rsidP="00DB55E9">
      <w:pPr>
        <w:pStyle w:val="NormalWeb"/>
        <w:jc w:val="both"/>
      </w:pPr>
      <w:r w:rsidRPr="005C429C">
        <w:rPr>
          <w:noProof/>
        </w:rPr>
        <w:drawing>
          <wp:inline distT="0" distB="0" distL="0" distR="0" wp14:anchorId="75D0699F" wp14:editId="7237F666">
            <wp:extent cx="5400000" cy="3877852"/>
            <wp:effectExtent l="0" t="0" r="0" b="0"/>
            <wp:docPr id="2642370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5102" b="-4517"/>
                    <a:stretch/>
                  </pic:blipFill>
                  <pic:spPr bwMode="auto">
                    <a:xfrm>
                      <a:off x="0" y="0"/>
                      <a:ext cx="5400000" cy="3877852"/>
                    </a:xfrm>
                    <a:prstGeom prst="rect">
                      <a:avLst/>
                    </a:prstGeom>
                    <a:noFill/>
                    <a:ln>
                      <a:noFill/>
                    </a:ln>
                    <a:extLst>
                      <a:ext uri="{53640926-AAD7-44D8-BBD7-CCE9431645EC}">
                        <a14:shadowObscured xmlns:a14="http://schemas.microsoft.com/office/drawing/2010/main"/>
                      </a:ext>
                    </a:extLst>
                  </pic:spPr>
                </pic:pic>
              </a:graphicData>
            </a:graphic>
          </wp:inline>
        </w:drawing>
      </w:r>
    </w:p>
    <w:p w14:paraId="2B4BA3CD" w14:textId="0E50B0EF" w:rsidR="00236786" w:rsidRPr="005C429C" w:rsidRDefault="00BC3A1A" w:rsidP="00DB55E9">
      <w:pPr>
        <w:jc w:val="both"/>
        <w:rPr>
          <w:rFonts w:ascii="Times New Roman" w:hAnsi="Times New Roman" w:cs="Times New Roman"/>
        </w:rPr>
      </w:pPr>
      <w:r w:rsidRPr="005C429C">
        <w:rPr>
          <w:rFonts w:ascii="Times New Roman" w:hAnsi="Times New Roman" w:cs="Times New Roman"/>
        </w:rPr>
        <w:t>Figure S</w:t>
      </w:r>
      <w:r w:rsidR="00FE369C" w:rsidRPr="005C429C">
        <w:rPr>
          <w:rFonts w:ascii="Times New Roman" w:hAnsi="Times New Roman" w:cs="Times New Roman"/>
        </w:rPr>
        <w:t>5</w:t>
      </w:r>
      <w:r w:rsidR="00236786" w:rsidRPr="005C429C">
        <w:rPr>
          <w:rFonts w:ascii="Times New Roman" w:hAnsi="Times New Roman" w:cs="Times New Roman"/>
        </w:rPr>
        <w:t xml:space="preserve">. Bubble plot of the overall surrogate relationships with treatment effects on </w:t>
      </w:r>
      <w:r w:rsidR="000E15EC" w:rsidRPr="005C429C">
        <w:rPr>
          <w:rFonts w:ascii="Times New Roman" w:hAnsi="Times New Roman" w:cs="Times New Roman"/>
        </w:rPr>
        <w:t>Aβ</w:t>
      </w:r>
      <w:r w:rsidR="00236786" w:rsidRPr="005C429C">
        <w:rPr>
          <w:rFonts w:ascii="Times New Roman" w:hAnsi="Times New Roman" w:cs="Times New Roman"/>
        </w:rPr>
        <w:t xml:space="preserve"> centiloids (with converted values) and </w:t>
      </w:r>
      <w:r w:rsidR="005339FE" w:rsidRPr="005C429C">
        <w:rPr>
          <w:rFonts w:ascii="Times New Roman" w:hAnsi="Times New Roman" w:cs="Times New Roman"/>
        </w:rPr>
        <w:t xml:space="preserve">Clinical Dementia Rating – Sum of Boxes (CDR-SOB) </w:t>
      </w:r>
      <w:r w:rsidR="00236786" w:rsidRPr="005C429C">
        <w:rPr>
          <w:rFonts w:ascii="Times New Roman" w:hAnsi="Times New Roman" w:cs="Times New Roman"/>
        </w:rPr>
        <w:t>reported at the same time. The mean (95% credible intervals) of intercept, slope and conditional variance were obtained from Daniels and Hughes model. The bubble size corresponds to the number of patients with measured cognitive functions.</w:t>
      </w:r>
    </w:p>
    <w:p w14:paraId="65B2DEDF" w14:textId="77777777" w:rsidR="00C020CC" w:rsidRPr="005C429C" w:rsidRDefault="00C020CC" w:rsidP="00DB55E9">
      <w:pPr>
        <w:pStyle w:val="NormalWeb"/>
        <w:jc w:val="both"/>
      </w:pPr>
      <w:r w:rsidRPr="005C429C">
        <w:rPr>
          <w:noProof/>
        </w:rPr>
        <w:lastRenderedPageBreak/>
        <w:drawing>
          <wp:inline distT="0" distB="0" distL="0" distR="0" wp14:anchorId="65E596C6" wp14:editId="6B4FED8E">
            <wp:extent cx="5400000" cy="37019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4912"/>
                    <a:stretch/>
                  </pic:blipFill>
                  <pic:spPr bwMode="auto">
                    <a:xfrm>
                      <a:off x="0" y="0"/>
                      <a:ext cx="5400000" cy="3701953"/>
                    </a:xfrm>
                    <a:prstGeom prst="rect">
                      <a:avLst/>
                    </a:prstGeom>
                    <a:noFill/>
                    <a:ln>
                      <a:noFill/>
                    </a:ln>
                    <a:extLst>
                      <a:ext uri="{53640926-AAD7-44D8-BBD7-CCE9431645EC}">
                        <a14:shadowObscured xmlns:a14="http://schemas.microsoft.com/office/drawing/2010/main"/>
                      </a:ext>
                    </a:extLst>
                  </pic:spPr>
                </pic:pic>
              </a:graphicData>
            </a:graphic>
          </wp:inline>
        </w:drawing>
      </w:r>
    </w:p>
    <w:p w14:paraId="4A8FD307" w14:textId="51A57C99" w:rsidR="0051143E" w:rsidRPr="005C429C" w:rsidRDefault="00BC3A1A" w:rsidP="00DB55E9">
      <w:pPr>
        <w:jc w:val="both"/>
        <w:rPr>
          <w:rFonts w:ascii="Times New Roman" w:hAnsi="Times New Roman" w:cs="Times New Roman"/>
        </w:rPr>
      </w:pPr>
      <w:r w:rsidRPr="005C429C">
        <w:rPr>
          <w:rFonts w:ascii="Times New Roman" w:hAnsi="Times New Roman" w:cs="Times New Roman"/>
        </w:rPr>
        <w:t>Figure S</w:t>
      </w:r>
      <w:r w:rsidR="00C020CC" w:rsidRPr="005C429C">
        <w:rPr>
          <w:rFonts w:ascii="Times New Roman" w:hAnsi="Times New Roman" w:cs="Times New Roman"/>
        </w:rPr>
        <w:t xml:space="preserve">6. Bubble plot of the overall surrogate relationships with treatment effects on </w:t>
      </w:r>
      <w:r w:rsidR="000E15EC" w:rsidRPr="005C429C">
        <w:rPr>
          <w:rFonts w:ascii="Times New Roman" w:hAnsi="Times New Roman" w:cs="Times New Roman"/>
        </w:rPr>
        <w:t>Aβ</w:t>
      </w:r>
      <w:r w:rsidR="00C020CC" w:rsidRPr="005C429C">
        <w:rPr>
          <w:rFonts w:ascii="Times New Roman" w:hAnsi="Times New Roman" w:cs="Times New Roman"/>
        </w:rPr>
        <w:t xml:space="preserve"> centiloids (without converted values) and Clinical Dementia Rating – Sum of Boxes (CDR-SOB) reported at the same time. The mean (95% credible intervals) of intercept, slope and conditional variance were obtained from Daniels and Hughes model. The bubble size corresponds to the number of patients with measured cognitive functions.</w:t>
      </w:r>
    </w:p>
    <w:p w14:paraId="56270394" w14:textId="27BEC9DE" w:rsidR="00A27745" w:rsidRPr="005C429C" w:rsidRDefault="00AD4C3C" w:rsidP="00DB55E9">
      <w:pPr>
        <w:jc w:val="both"/>
        <w:rPr>
          <w:rFonts w:ascii="Times New Roman" w:hAnsi="Times New Roman" w:cs="Times New Roman"/>
          <w:sz w:val="24"/>
          <w:szCs w:val="24"/>
        </w:rPr>
      </w:pPr>
      <w:bookmarkStart w:id="2" w:name="_Hlk181716742"/>
      <w:r w:rsidRPr="005C429C">
        <w:rPr>
          <w:rFonts w:ascii="Times New Roman" w:hAnsi="Times New Roman" w:cs="Times New Roman"/>
          <w:sz w:val="24"/>
          <w:szCs w:val="24"/>
        </w:rPr>
        <w:t>Appendix C</w:t>
      </w:r>
      <w:r w:rsidR="00023DAC" w:rsidRPr="005C429C">
        <w:rPr>
          <w:rFonts w:ascii="Times New Roman" w:hAnsi="Times New Roman" w:cs="Times New Roman"/>
          <w:sz w:val="24"/>
          <w:szCs w:val="24"/>
        </w:rPr>
        <w:t>3</w:t>
      </w:r>
      <w:r w:rsidR="00AE656B" w:rsidRPr="005C429C">
        <w:rPr>
          <w:rFonts w:ascii="Times New Roman" w:hAnsi="Times New Roman" w:cs="Times New Roman"/>
          <w:sz w:val="24"/>
          <w:szCs w:val="24"/>
        </w:rPr>
        <w:t xml:space="preserve">. </w:t>
      </w:r>
      <w:r w:rsidR="00A27745" w:rsidRPr="005C429C">
        <w:rPr>
          <w:rFonts w:ascii="Times New Roman" w:hAnsi="Times New Roman" w:cs="Times New Roman"/>
          <w:sz w:val="24"/>
          <w:szCs w:val="24"/>
        </w:rPr>
        <w:t xml:space="preserve">Further analyses for evaluating surrogate relationship </w:t>
      </w:r>
      <w:r w:rsidR="00551B4E" w:rsidRPr="005C429C">
        <w:rPr>
          <w:rFonts w:ascii="Times New Roman" w:hAnsi="Times New Roman" w:cs="Times New Roman"/>
          <w:sz w:val="24"/>
          <w:szCs w:val="24"/>
        </w:rPr>
        <w:t>by treatment</w:t>
      </w:r>
    </w:p>
    <w:bookmarkEnd w:id="2"/>
    <w:p w14:paraId="52130940" w14:textId="116B900F" w:rsidR="003428ED" w:rsidRPr="005C429C" w:rsidRDefault="00AE656B" w:rsidP="00DB55E9">
      <w:pPr>
        <w:jc w:val="both"/>
        <w:rPr>
          <w:rFonts w:ascii="Times New Roman" w:hAnsi="Times New Roman" w:cs="Times New Roman"/>
        </w:rPr>
      </w:pPr>
      <w:r w:rsidRPr="005C429C">
        <w:rPr>
          <w:rFonts w:ascii="Times New Roman" w:hAnsi="Times New Roman" w:cs="Times New Roman"/>
        </w:rPr>
        <w:t xml:space="preserve">The surrogate relationships for individual treatments were discussed in Section 3.2.1. The results of partial exchangeability model are presented along with the results of subgroup analysis and full exchangeability model in </w:t>
      </w:r>
      <w:r w:rsidR="00BC3A1A" w:rsidRPr="005C429C">
        <w:rPr>
          <w:rFonts w:ascii="Times New Roman" w:hAnsi="Times New Roman" w:cs="Times New Roman"/>
        </w:rPr>
        <w:t>Figure S</w:t>
      </w:r>
      <w:r w:rsidR="00023DAC" w:rsidRPr="005C429C">
        <w:rPr>
          <w:rFonts w:ascii="Times New Roman" w:hAnsi="Times New Roman" w:cs="Times New Roman"/>
        </w:rPr>
        <w:t>7</w:t>
      </w:r>
      <w:r w:rsidRPr="005C429C">
        <w:rPr>
          <w:rFonts w:ascii="Times New Roman" w:hAnsi="Times New Roman" w:cs="Times New Roman"/>
        </w:rPr>
        <w:t>.</w:t>
      </w:r>
      <w:r w:rsidR="003428ED" w:rsidRPr="005C429C">
        <w:rPr>
          <w:rFonts w:ascii="Times New Roman" w:hAnsi="Times New Roman" w:cs="Times New Roman"/>
        </w:rPr>
        <w:t xml:space="preserve"> </w:t>
      </w:r>
    </w:p>
    <w:p w14:paraId="0777BE3F" w14:textId="0928F4CB" w:rsidR="003428ED" w:rsidRPr="005C429C" w:rsidRDefault="003428ED" w:rsidP="00DB55E9">
      <w:pPr>
        <w:jc w:val="both"/>
        <w:rPr>
          <w:rFonts w:ascii="Times New Roman" w:hAnsi="Times New Roman" w:cs="Times New Roman"/>
        </w:rPr>
      </w:pPr>
      <w:r w:rsidRPr="005C429C">
        <w:rPr>
          <w:rFonts w:ascii="Times New Roman" w:hAnsi="Times New Roman" w:cs="Times New Roman"/>
        </w:rPr>
        <w:t>The partial exchangeability hierarchical model allows for the flexible borrowing of information across treatments, resulting in the estimation of key parameters with less uncertainty.</w:t>
      </w:r>
      <w:r w:rsidR="003D5157" w:rsidRPr="005C429C">
        <w:rPr>
          <w:rFonts w:ascii="Times New Roman" w:hAnsi="Times New Roman" w:cs="Times New Roman"/>
        </w:rPr>
        <w:t xml:space="preserve"> T</w:t>
      </w:r>
      <w:r w:rsidRPr="005C429C">
        <w:rPr>
          <w:rFonts w:ascii="Times New Roman" w:hAnsi="Times New Roman" w:cs="Times New Roman"/>
          <w:color w:val="000000" w:themeColor="text1"/>
        </w:rPr>
        <w:t>he surrogate relationship for lecanemab</w:t>
      </w:r>
      <w:r w:rsidR="00923CDD" w:rsidRPr="005C429C">
        <w:rPr>
          <w:rFonts w:ascii="Times New Roman" w:hAnsi="Times New Roman" w:cs="Times New Roman"/>
          <w:color w:val="000000" w:themeColor="text1"/>
        </w:rPr>
        <w:t xml:space="preserve"> </w:t>
      </w:r>
      <w:r w:rsidR="003D5157" w:rsidRPr="005C429C">
        <w:rPr>
          <w:rFonts w:ascii="Times New Roman" w:hAnsi="Times New Roman" w:cs="Times New Roman"/>
          <w:color w:val="000000" w:themeColor="text1"/>
        </w:rPr>
        <w:t xml:space="preserve">from the partial </w:t>
      </w:r>
      <w:r w:rsidR="003D5157" w:rsidRPr="005C429C">
        <w:rPr>
          <w:rFonts w:ascii="Times New Roman" w:hAnsi="Times New Roman" w:cs="Times New Roman"/>
        </w:rPr>
        <w:t xml:space="preserve">exchangeability hierarchical model </w:t>
      </w:r>
      <w:r w:rsidRPr="005C429C">
        <w:rPr>
          <w:rFonts w:ascii="Times New Roman" w:hAnsi="Times New Roman" w:cs="Times New Roman"/>
          <w:color w:val="000000" w:themeColor="text1"/>
        </w:rPr>
        <w:t xml:space="preserve">was </w:t>
      </w:r>
      <w:r w:rsidR="003D5157" w:rsidRPr="005C429C">
        <w:rPr>
          <w:rFonts w:ascii="Times New Roman" w:hAnsi="Times New Roman" w:cs="Times New Roman"/>
          <w:color w:val="000000" w:themeColor="text1"/>
        </w:rPr>
        <w:t>moderate</w:t>
      </w:r>
      <w:r w:rsidRPr="005C429C">
        <w:rPr>
          <w:rFonts w:ascii="Times New Roman" w:hAnsi="Times New Roman" w:cs="Times New Roman"/>
          <w:color w:val="000000" w:themeColor="text1"/>
        </w:rPr>
        <w:t xml:space="preserve">, with the slope </w:t>
      </w:r>
      <w:r w:rsidR="00923CDD" w:rsidRPr="005C429C">
        <w:rPr>
          <w:rFonts w:ascii="Times New Roman" w:hAnsi="Times New Roman" w:cs="Times New Roman"/>
          <w:color w:val="000000" w:themeColor="text1"/>
        </w:rPr>
        <w:t>1.</w:t>
      </w:r>
      <w:r w:rsidR="00AD57B5" w:rsidRPr="005C429C">
        <w:rPr>
          <w:rFonts w:ascii="Times New Roman" w:hAnsi="Times New Roman" w:cs="Times New Roman"/>
          <w:color w:val="000000" w:themeColor="text1"/>
        </w:rPr>
        <w:t>71</w:t>
      </w:r>
      <w:r w:rsidRPr="005C429C">
        <w:rPr>
          <w:rFonts w:ascii="Times New Roman" w:hAnsi="Times New Roman" w:cs="Times New Roman"/>
          <w:color w:val="000000" w:themeColor="text1"/>
        </w:rPr>
        <w:t xml:space="preserve"> (95% CrI: </w:t>
      </w:r>
      <w:r w:rsidR="00923CDD" w:rsidRPr="005C429C">
        <w:rPr>
          <w:rFonts w:ascii="Times New Roman" w:hAnsi="Times New Roman" w:cs="Times New Roman"/>
          <w:color w:val="000000" w:themeColor="text1"/>
        </w:rPr>
        <w:t>0.0</w:t>
      </w:r>
      <w:r w:rsidR="00AD57B5" w:rsidRPr="005C429C">
        <w:rPr>
          <w:rFonts w:ascii="Times New Roman" w:hAnsi="Times New Roman" w:cs="Times New Roman"/>
          <w:color w:val="000000" w:themeColor="text1"/>
        </w:rPr>
        <w:t>8</w:t>
      </w:r>
      <w:r w:rsidRPr="005C429C">
        <w:rPr>
          <w:rFonts w:ascii="Times New Roman" w:hAnsi="Times New Roman" w:cs="Times New Roman"/>
          <w:color w:val="000000" w:themeColor="text1"/>
        </w:rPr>
        <w:t xml:space="preserve">, </w:t>
      </w:r>
      <w:r w:rsidR="00923CDD" w:rsidRPr="005C429C">
        <w:rPr>
          <w:rFonts w:ascii="Times New Roman" w:hAnsi="Times New Roman" w:cs="Times New Roman"/>
          <w:color w:val="000000" w:themeColor="text1"/>
        </w:rPr>
        <w:t>3.3</w:t>
      </w:r>
      <w:r w:rsidR="00AD57B5" w:rsidRPr="005C429C">
        <w:rPr>
          <w:rFonts w:ascii="Times New Roman" w:hAnsi="Times New Roman" w:cs="Times New Roman"/>
          <w:color w:val="000000" w:themeColor="text1"/>
        </w:rPr>
        <w:t>5</w:t>
      </w:r>
      <w:r w:rsidRPr="005C429C">
        <w:rPr>
          <w:rFonts w:ascii="Times New Roman" w:hAnsi="Times New Roman" w:cs="Times New Roman"/>
          <w:color w:val="000000" w:themeColor="text1"/>
        </w:rPr>
        <w:t>) and conditional variance 0.0</w:t>
      </w:r>
      <w:r w:rsidR="00923CDD" w:rsidRPr="005C429C">
        <w:rPr>
          <w:rFonts w:ascii="Times New Roman" w:hAnsi="Times New Roman" w:cs="Times New Roman"/>
          <w:color w:val="000000" w:themeColor="text1"/>
        </w:rPr>
        <w:t>3</w:t>
      </w:r>
      <w:r w:rsidRPr="005C429C">
        <w:rPr>
          <w:rFonts w:ascii="Times New Roman" w:hAnsi="Times New Roman" w:cs="Times New Roman"/>
          <w:color w:val="000000" w:themeColor="text1"/>
        </w:rPr>
        <w:t xml:space="preserve"> (95% CrI: 0, 0.</w:t>
      </w:r>
      <w:r w:rsidR="00923CDD" w:rsidRPr="005C429C">
        <w:rPr>
          <w:rFonts w:ascii="Times New Roman" w:hAnsi="Times New Roman" w:cs="Times New Roman"/>
          <w:color w:val="000000" w:themeColor="text1"/>
        </w:rPr>
        <w:t>22</w:t>
      </w:r>
      <w:r w:rsidRPr="005C429C">
        <w:rPr>
          <w:rFonts w:ascii="Times New Roman" w:hAnsi="Times New Roman" w:cs="Times New Roman"/>
          <w:color w:val="000000" w:themeColor="text1"/>
        </w:rPr>
        <w:t>)</w:t>
      </w:r>
      <w:r w:rsidR="003D5157" w:rsidRPr="005C429C">
        <w:rPr>
          <w:rFonts w:ascii="Times New Roman" w:hAnsi="Times New Roman" w:cs="Times New Roman"/>
          <w:color w:val="000000" w:themeColor="text1"/>
        </w:rPr>
        <w:t>. The surrogate relationship for all the other drugs was weak</w:t>
      </w:r>
      <w:r w:rsidR="00AD57B5" w:rsidRPr="005C429C">
        <w:rPr>
          <w:rFonts w:ascii="Times New Roman" w:hAnsi="Times New Roman" w:cs="Times New Roman"/>
          <w:color w:val="000000" w:themeColor="text1"/>
        </w:rPr>
        <w:t xml:space="preserve"> with zero included in the credible intervals of slope</w:t>
      </w:r>
      <w:r w:rsidR="003D5157" w:rsidRPr="005C429C">
        <w:rPr>
          <w:rFonts w:ascii="Times New Roman" w:hAnsi="Times New Roman" w:cs="Times New Roman"/>
          <w:color w:val="000000" w:themeColor="text1"/>
        </w:rPr>
        <w:t xml:space="preserve">. For example, for aducanumab, </w:t>
      </w:r>
      <w:r w:rsidR="00923CDD" w:rsidRPr="005C429C">
        <w:rPr>
          <w:rFonts w:ascii="Times New Roman" w:hAnsi="Times New Roman" w:cs="Times New Roman"/>
          <w:color w:val="000000" w:themeColor="text1"/>
        </w:rPr>
        <w:t xml:space="preserve">the slope </w:t>
      </w:r>
      <w:r w:rsidR="003D5157" w:rsidRPr="005C429C">
        <w:rPr>
          <w:rFonts w:ascii="Times New Roman" w:hAnsi="Times New Roman" w:cs="Times New Roman"/>
          <w:color w:val="000000" w:themeColor="text1"/>
        </w:rPr>
        <w:t xml:space="preserve">was </w:t>
      </w:r>
      <w:r w:rsidR="00923CDD" w:rsidRPr="005C429C">
        <w:rPr>
          <w:rFonts w:ascii="Times New Roman" w:hAnsi="Times New Roman" w:cs="Times New Roman"/>
          <w:color w:val="000000" w:themeColor="text1"/>
        </w:rPr>
        <w:t>2.</w:t>
      </w:r>
      <w:r w:rsidR="00AD57B5" w:rsidRPr="005C429C">
        <w:rPr>
          <w:rFonts w:ascii="Times New Roman" w:hAnsi="Times New Roman" w:cs="Times New Roman"/>
          <w:color w:val="000000" w:themeColor="text1"/>
        </w:rPr>
        <w:t>59</w:t>
      </w:r>
      <w:r w:rsidR="00923CDD" w:rsidRPr="005C429C">
        <w:rPr>
          <w:rFonts w:ascii="Times New Roman" w:hAnsi="Times New Roman" w:cs="Times New Roman"/>
          <w:color w:val="000000" w:themeColor="text1"/>
        </w:rPr>
        <w:t xml:space="preserve"> (95% CrI: -0.0</w:t>
      </w:r>
      <w:r w:rsidR="00AD57B5" w:rsidRPr="005C429C">
        <w:rPr>
          <w:rFonts w:ascii="Times New Roman" w:hAnsi="Times New Roman" w:cs="Times New Roman"/>
          <w:color w:val="000000" w:themeColor="text1"/>
        </w:rPr>
        <w:t>3</w:t>
      </w:r>
      <w:r w:rsidR="00923CDD" w:rsidRPr="005C429C">
        <w:rPr>
          <w:rFonts w:ascii="Times New Roman" w:hAnsi="Times New Roman" w:cs="Times New Roman"/>
          <w:color w:val="000000" w:themeColor="text1"/>
        </w:rPr>
        <w:t xml:space="preserve">, </w:t>
      </w:r>
      <w:r w:rsidR="00AD57B5" w:rsidRPr="005C429C">
        <w:rPr>
          <w:rFonts w:ascii="Times New Roman" w:hAnsi="Times New Roman" w:cs="Times New Roman"/>
          <w:color w:val="000000" w:themeColor="text1"/>
        </w:rPr>
        <w:t>6</w:t>
      </w:r>
      <w:r w:rsidR="00923CDD" w:rsidRPr="005C429C">
        <w:rPr>
          <w:rFonts w:ascii="Times New Roman" w:hAnsi="Times New Roman" w:cs="Times New Roman"/>
          <w:color w:val="000000" w:themeColor="text1"/>
        </w:rPr>
        <w:t>.</w:t>
      </w:r>
      <w:r w:rsidR="00AD57B5" w:rsidRPr="005C429C">
        <w:rPr>
          <w:rFonts w:ascii="Times New Roman" w:hAnsi="Times New Roman" w:cs="Times New Roman"/>
          <w:color w:val="000000" w:themeColor="text1"/>
        </w:rPr>
        <w:t>92</w:t>
      </w:r>
      <w:r w:rsidR="00923CDD" w:rsidRPr="005C429C">
        <w:rPr>
          <w:rFonts w:ascii="Times New Roman" w:hAnsi="Times New Roman" w:cs="Times New Roman"/>
          <w:color w:val="000000" w:themeColor="text1"/>
        </w:rPr>
        <w:t>) and conditional variance</w:t>
      </w:r>
      <w:r w:rsidR="003D5157" w:rsidRPr="005C429C">
        <w:rPr>
          <w:rFonts w:ascii="Times New Roman" w:hAnsi="Times New Roman" w:cs="Times New Roman"/>
          <w:color w:val="000000" w:themeColor="text1"/>
        </w:rPr>
        <w:t xml:space="preserve"> was</w:t>
      </w:r>
      <w:r w:rsidR="00923CDD" w:rsidRPr="005C429C">
        <w:rPr>
          <w:rFonts w:ascii="Times New Roman" w:hAnsi="Times New Roman" w:cs="Times New Roman"/>
          <w:color w:val="000000" w:themeColor="text1"/>
        </w:rPr>
        <w:t xml:space="preserve"> 0.03 (95% CrI: 0, 0.1</w:t>
      </w:r>
      <w:r w:rsidR="00AD57B5" w:rsidRPr="005C429C">
        <w:rPr>
          <w:rFonts w:ascii="Times New Roman" w:hAnsi="Times New Roman" w:cs="Times New Roman"/>
          <w:color w:val="000000" w:themeColor="text1"/>
        </w:rPr>
        <w:t>6</w:t>
      </w:r>
      <w:r w:rsidR="00923CDD" w:rsidRPr="005C429C">
        <w:rPr>
          <w:rFonts w:ascii="Times New Roman" w:hAnsi="Times New Roman" w:cs="Times New Roman"/>
          <w:color w:val="000000" w:themeColor="text1"/>
        </w:rPr>
        <w:t>).</w:t>
      </w:r>
      <w:r w:rsidR="003D5157" w:rsidRPr="005C429C">
        <w:rPr>
          <w:rFonts w:ascii="Times New Roman" w:hAnsi="Times New Roman" w:cs="Times New Roman"/>
          <w:color w:val="000000" w:themeColor="text1"/>
        </w:rPr>
        <w:t xml:space="preserve"> </w:t>
      </w:r>
    </w:p>
    <w:p w14:paraId="293BAFBB" w14:textId="5F0E835C" w:rsidR="00C9478E" w:rsidRPr="005C429C" w:rsidRDefault="00C9478E" w:rsidP="00DB55E9">
      <w:pPr>
        <w:spacing w:after="240"/>
        <w:jc w:val="both"/>
        <w:rPr>
          <w:rFonts w:ascii="Times New Roman" w:hAnsi="Times New Roman" w:cs="Times New Roman"/>
        </w:rPr>
      </w:pPr>
      <w:r w:rsidRPr="005C429C">
        <w:rPr>
          <w:rFonts w:ascii="Times New Roman" w:hAnsi="Times New Roman" w:cs="Times New Roman"/>
        </w:rPr>
        <w:t xml:space="preserve">The posterior mean of mixture weights </w:t>
      </w:r>
      <w:r w:rsidR="003428ED" w:rsidRPr="005C429C">
        <w:rPr>
          <w:rFonts w:ascii="Times New Roman" w:hAnsi="Times New Roman" w:cs="Times New Roman"/>
        </w:rPr>
        <w:t xml:space="preserve">from the partial exchangeability model </w:t>
      </w:r>
      <w:r w:rsidRPr="005C429C">
        <w:rPr>
          <w:rFonts w:ascii="Times New Roman" w:hAnsi="Times New Roman" w:cs="Times New Roman"/>
        </w:rPr>
        <w:t>had an average of 0.8</w:t>
      </w:r>
      <w:r w:rsidR="00B7728A" w:rsidRPr="005C429C">
        <w:rPr>
          <w:rFonts w:ascii="Times New Roman" w:hAnsi="Times New Roman" w:cs="Times New Roman"/>
        </w:rPr>
        <w:t>3</w:t>
      </w:r>
      <w:r w:rsidRPr="005C429C">
        <w:rPr>
          <w:rFonts w:ascii="Times New Roman" w:hAnsi="Times New Roman" w:cs="Times New Roman"/>
        </w:rPr>
        <w:t>, indicating a high level of borrowing of information</w:t>
      </w:r>
      <w:r w:rsidR="003428ED" w:rsidRPr="005C429C">
        <w:rPr>
          <w:rFonts w:ascii="Times New Roman" w:hAnsi="Times New Roman" w:cs="Times New Roman"/>
        </w:rPr>
        <w:t>. When comparing results from the full exchangeability model with subgroup analyses, the reduction in the width of CrI was 7</w:t>
      </w:r>
      <w:r w:rsidR="00BF3623" w:rsidRPr="005C429C">
        <w:rPr>
          <w:rFonts w:ascii="Times New Roman" w:hAnsi="Times New Roman" w:cs="Times New Roman"/>
        </w:rPr>
        <w:t>1</w:t>
      </w:r>
      <w:r w:rsidR="003428ED" w:rsidRPr="005C429C">
        <w:rPr>
          <w:rFonts w:ascii="Times New Roman" w:hAnsi="Times New Roman" w:cs="Times New Roman"/>
        </w:rPr>
        <w:t>% (5</w:t>
      </w:r>
      <w:r w:rsidR="00BF3623" w:rsidRPr="005C429C">
        <w:rPr>
          <w:rFonts w:ascii="Times New Roman" w:hAnsi="Times New Roman" w:cs="Times New Roman"/>
        </w:rPr>
        <w:t>1</w:t>
      </w:r>
      <w:r w:rsidR="003428ED" w:rsidRPr="005C429C">
        <w:rPr>
          <w:rFonts w:ascii="Times New Roman" w:hAnsi="Times New Roman" w:cs="Times New Roman"/>
        </w:rPr>
        <w:t xml:space="preserve">%-95%) for slope and </w:t>
      </w:r>
      <w:r w:rsidR="00BF3623" w:rsidRPr="005C429C">
        <w:rPr>
          <w:rFonts w:ascii="Times New Roman" w:hAnsi="Times New Roman" w:cs="Times New Roman"/>
        </w:rPr>
        <w:t>28</w:t>
      </w:r>
      <w:r w:rsidR="003428ED" w:rsidRPr="005C429C">
        <w:rPr>
          <w:rFonts w:ascii="Times New Roman" w:hAnsi="Times New Roman" w:cs="Times New Roman"/>
        </w:rPr>
        <w:t>% (</w:t>
      </w:r>
      <w:r w:rsidR="00BF3623" w:rsidRPr="005C429C">
        <w:rPr>
          <w:rFonts w:ascii="Times New Roman" w:hAnsi="Times New Roman" w:cs="Times New Roman"/>
        </w:rPr>
        <w:t>7</w:t>
      </w:r>
      <w:r w:rsidR="003428ED" w:rsidRPr="005C429C">
        <w:rPr>
          <w:rFonts w:ascii="Times New Roman" w:hAnsi="Times New Roman" w:cs="Times New Roman"/>
        </w:rPr>
        <w:t>%-6</w:t>
      </w:r>
      <w:r w:rsidR="00BF3623" w:rsidRPr="005C429C">
        <w:rPr>
          <w:rFonts w:ascii="Times New Roman" w:hAnsi="Times New Roman" w:cs="Times New Roman"/>
        </w:rPr>
        <w:t>5</w:t>
      </w:r>
      <w:r w:rsidR="003428ED" w:rsidRPr="005C429C">
        <w:rPr>
          <w:rFonts w:ascii="Times New Roman" w:hAnsi="Times New Roman" w:cs="Times New Roman"/>
        </w:rPr>
        <w:t>%) for conditional variance. When comparing results from the partial exchangeability model with subgroup analyses, t</w:t>
      </w:r>
      <w:r w:rsidRPr="005C429C">
        <w:rPr>
          <w:rFonts w:ascii="Times New Roman" w:hAnsi="Times New Roman" w:cs="Times New Roman"/>
        </w:rPr>
        <w:t>he reduction in the width of CrI was 5</w:t>
      </w:r>
      <w:r w:rsidR="00BF3623" w:rsidRPr="005C429C">
        <w:rPr>
          <w:rFonts w:ascii="Times New Roman" w:hAnsi="Times New Roman" w:cs="Times New Roman"/>
        </w:rPr>
        <w:t>4</w:t>
      </w:r>
      <w:r w:rsidRPr="005C429C">
        <w:rPr>
          <w:rFonts w:ascii="Times New Roman" w:hAnsi="Times New Roman" w:cs="Times New Roman"/>
        </w:rPr>
        <w:t>% (</w:t>
      </w:r>
      <w:r w:rsidR="00BF3623" w:rsidRPr="005C429C">
        <w:rPr>
          <w:rFonts w:ascii="Times New Roman" w:hAnsi="Times New Roman" w:cs="Times New Roman"/>
        </w:rPr>
        <w:t>34</w:t>
      </w:r>
      <w:r w:rsidRPr="005C429C">
        <w:rPr>
          <w:rFonts w:ascii="Times New Roman" w:hAnsi="Times New Roman" w:cs="Times New Roman"/>
        </w:rPr>
        <w:t>%-94%) for slope and 2</w:t>
      </w:r>
      <w:r w:rsidR="00BF3623" w:rsidRPr="005C429C">
        <w:rPr>
          <w:rFonts w:ascii="Times New Roman" w:hAnsi="Times New Roman" w:cs="Times New Roman"/>
        </w:rPr>
        <w:t>4</w:t>
      </w:r>
      <w:r w:rsidRPr="005C429C">
        <w:rPr>
          <w:rFonts w:ascii="Times New Roman" w:hAnsi="Times New Roman" w:cs="Times New Roman"/>
        </w:rPr>
        <w:t>% (</w:t>
      </w:r>
      <w:r w:rsidR="00BF3623" w:rsidRPr="005C429C">
        <w:rPr>
          <w:rFonts w:ascii="Times New Roman" w:hAnsi="Times New Roman" w:cs="Times New Roman"/>
        </w:rPr>
        <w:t>6</w:t>
      </w:r>
      <w:r w:rsidRPr="005C429C">
        <w:rPr>
          <w:rFonts w:ascii="Times New Roman" w:hAnsi="Times New Roman" w:cs="Times New Roman"/>
        </w:rPr>
        <w:t>%-6</w:t>
      </w:r>
      <w:r w:rsidR="00BF3623" w:rsidRPr="005C429C">
        <w:rPr>
          <w:rFonts w:ascii="Times New Roman" w:hAnsi="Times New Roman" w:cs="Times New Roman"/>
        </w:rPr>
        <w:t>3</w:t>
      </w:r>
      <w:r w:rsidRPr="005C429C">
        <w:rPr>
          <w:rFonts w:ascii="Times New Roman" w:hAnsi="Times New Roman" w:cs="Times New Roman"/>
        </w:rPr>
        <w:t>%) for conditional variance</w:t>
      </w:r>
      <w:r w:rsidR="003428ED" w:rsidRPr="005C429C">
        <w:rPr>
          <w:rFonts w:ascii="Times New Roman" w:hAnsi="Times New Roman" w:cs="Times New Roman"/>
        </w:rPr>
        <w:t xml:space="preserve">. </w:t>
      </w:r>
      <w:r w:rsidRPr="005C429C">
        <w:rPr>
          <w:rFonts w:ascii="Times New Roman" w:hAnsi="Times New Roman" w:cs="Times New Roman"/>
        </w:rPr>
        <w:t>The reduction is greater for the full exchangeability model as more information was borrowed in the full exchangeability model.</w:t>
      </w:r>
    </w:p>
    <w:p w14:paraId="095EFC42" w14:textId="005E8A00" w:rsidR="00262C12" w:rsidRPr="005C429C" w:rsidRDefault="00262C12" w:rsidP="00DB55E9">
      <w:pPr>
        <w:jc w:val="both"/>
        <w:rPr>
          <w:rFonts w:ascii="Times New Roman" w:hAnsi="Times New Roman" w:cs="Times New Roman"/>
        </w:rPr>
      </w:pPr>
      <w:r w:rsidRPr="005C429C">
        <w:rPr>
          <w:rFonts w:ascii="Times New Roman" w:hAnsi="Times New Roman" w:cs="Times New Roman"/>
          <w:noProof/>
        </w:rPr>
        <w:lastRenderedPageBreak/>
        <w:drawing>
          <wp:inline distT="0" distB="0" distL="0" distR="0" wp14:anchorId="3DA1C9C7" wp14:editId="45E0E4FC">
            <wp:extent cx="5731510" cy="2149475"/>
            <wp:effectExtent l="0" t="0" r="2540" b="3175"/>
            <wp:docPr id="752224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149475"/>
                    </a:xfrm>
                    <a:prstGeom prst="rect">
                      <a:avLst/>
                    </a:prstGeom>
                    <a:noFill/>
                    <a:ln>
                      <a:noFill/>
                    </a:ln>
                  </pic:spPr>
                </pic:pic>
              </a:graphicData>
            </a:graphic>
          </wp:inline>
        </w:drawing>
      </w:r>
    </w:p>
    <w:p w14:paraId="616C5D0B" w14:textId="7D5AC78D" w:rsidR="00B128C7" w:rsidRPr="005C429C" w:rsidRDefault="00BC3A1A" w:rsidP="00DB55E9">
      <w:pPr>
        <w:jc w:val="both"/>
        <w:rPr>
          <w:rFonts w:ascii="Times New Roman" w:hAnsi="Times New Roman" w:cs="Times New Roman"/>
        </w:rPr>
      </w:pPr>
      <w:r w:rsidRPr="005C429C">
        <w:rPr>
          <w:rFonts w:ascii="Times New Roman" w:hAnsi="Times New Roman" w:cs="Times New Roman"/>
        </w:rPr>
        <w:t>Figure S</w:t>
      </w:r>
      <w:r w:rsidR="00023DAC" w:rsidRPr="005C429C">
        <w:rPr>
          <w:rFonts w:ascii="Times New Roman" w:hAnsi="Times New Roman" w:cs="Times New Roman"/>
        </w:rPr>
        <w:t>7</w:t>
      </w:r>
      <w:r w:rsidR="001D0BFA" w:rsidRPr="005C429C">
        <w:rPr>
          <w:rFonts w:ascii="Times New Roman" w:hAnsi="Times New Roman" w:cs="Times New Roman"/>
        </w:rPr>
        <w:t>. Forest plot of estimates of slope (</w:t>
      </w:r>
      <w:r w:rsidR="00262C12" w:rsidRPr="005C429C">
        <w:rPr>
          <w:rFonts w:ascii="Times New Roman" w:hAnsi="Times New Roman" w:cs="Times New Roman"/>
        </w:rPr>
        <w:t>red</w:t>
      </w:r>
      <w:r w:rsidR="001D0BFA" w:rsidRPr="005C429C">
        <w:rPr>
          <w:rFonts w:ascii="Times New Roman" w:hAnsi="Times New Roman" w:cs="Times New Roman"/>
        </w:rPr>
        <w:t>), intercept (green) and conditional variance (</w:t>
      </w:r>
      <w:r w:rsidR="00262C12" w:rsidRPr="005C429C">
        <w:rPr>
          <w:rFonts w:ascii="Times New Roman" w:hAnsi="Times New Roman" w:cs="Times New Roman"/>
        </w:rPr>
        <w:t>blue</w:t>
      </w:r>
      <w:r w:rsidR="001D0BFA" w:rsidRPr="005C429C">
        <w:rPr>
          <w:rFonts w:ascii="Times New Roman" w:hAnsi="Times New Roman" w:cs="Times New Roman"/>
        </w:rPr>
        <w:t xml:space="preserve">) for </w:t>
      </w:r>
      <w:r w:rsidR="0049794E" w:rsidRPr="005C429C">
        <w:rPr>
          <w:rFonts w:ascii="Times New Roman" w:hAnsi="Times New Roman" w:cs="Times New Roman"/>
        </w:rPr>
        <w:t>Aβ</w:t>
      </w:r>
      <w:r w:rsidR="001D0BFA" w:rsidRPr="005C429C">
        <w:rPr>
          <w:rFonts w:ascii="Times New Roman" w:hAnsi="Times New Roman" w:cs="Times New Roman"/>
        </w:rPr>
        <w:t xml:space="preserve"> </w:t>
      </w:r>
      <w:r w:rsidR="0013617E" w:rsidRPr="005C429C">
        <w:rPr>
          <w:rFonts w:ascii="Times New Roman" w:hAnsi="Times New Roman" w:cs="Times New Roman"/>
        </w:rPr>
        <w:t>standardised uptake value ratio (SUVR)</w:t>
      </w:r>
      <w:r w:rsidR="001D0BFA" w:rsidRPr="005C429C">
        <w:rPr>
          <w:rFonts w:ascii="Times New Roman" w:hAnsi="Times New Roman" w:cs="Times New Roman"/>
        </w:rPr>
        <w:t xml:space="preserve"> as a surrogate for </w:t>
      </w:r>
      <w:r w:rsidR="005339FE" w:rsidRPr="005C429C">
        <w:rPr>
          <w:rFonts w:ascii="Times New Roman" w:hAnsi="Times New Roman" w:cs="Times New Roman"/>
        </w:rPr>
        <w:t>Clinical Dementia Rating – Sum of Boxes (</w:t>
      </w:r>
      <w:r w:rsidR="001D0BFA" w:rsidRPr="005C429C">
        <w:rPr>
          <w:rFonts w:ascii="Times New Roman" w:hAnsi="Times New Roman" w:cs="Times New Roman"/>
        </w:rPr>
        <w:t>CDR-SOB</w:t>
      </w:r>
      <w:r w:rsidR="005339FE" w:rsidRPr="005C429C">
        <w:rPr>
          <w:rFonts w:ascii="Times New Roman" w:hAnsi="Times New Roman" w:cs="Times New Roman"/>
        </w:rPr>
        <w:t>)</w:t>
      </w:r>
      <w:r w:rsidR="001D0BFA" w:rsidRPr="005C429C">
        <w:rPr>
          <w:rFonts w:ascii="Times New Roman" w:hAnsi="Times New Roman" w:cs="Times New Roman"/>
        </w:rPr>
        <w:t>. Each column represents a different model, and each row corresponds to a different treatment. N represents the number of studies included</w:t>
      </w:r>
      <w:r w:rsidR="009E0583" w:rsidRPr="005C429C">
        <w:rPr>
          <w:rFonts w:ascii="Times New Roman" w:hAnsi="Times New Roman" w:cs="Times New Roman"/>
        </w:rPr>
        <w:t xml:space="preserve"> and M represent the total number of contrasts included.</w:t>
      </w:r>
    </w:p>
    <w:p w14:paraId="000AEE65" w14:textId="77777777" w:rsidR="00023DAC" w:rsidRPr="005C429C" w:rsidRDefault="00023DAC" w:rsidP="00DB55E9">
      <w:pPr>
        <w:jc w:val="both"/>
        <w:rPr>
          <w:rFonts w:ascii="Times New Roman" w:hAnsi="Times New Roman" w:cs="Times New Roman"/>
          <w:sz w:val="24"/>
          <w:szCs w:val="24"/>
        </w:rPr>
      </w:pPr>
    </w:p>
    <w:p w14:paraId="291356D7" w14:textId="77777777" w:rsidR="0051143E" w:rsidRPr="005C429C" w:rsidRDefault="0051143E" w:rsidP="00DB55E9">
      <w:pPr>
        <w:jc w:val="both"/>
        <w:rPr>
          <w:rFonts w:ascii="Times New Roman" w:hAnsi="Times New Roman" w:cs="Times New Roman"/>
        </w:rPr>
      </w:pPr>
    </w:p>
    <w:p w14:paraId="736FAB00" w14:textId="59AAA266" w:rsidR="0022040F" w:rsidRPr="005C429C" w:rsidRDefault="00AD4C3C" w:rsidP="00DB55E9">
      <w:pPr>
        <w:jc w:val="both"/>
        <w:rPr>
          <w:rFonts w:ascii="Times New Roman" w:hAnsi="Times New Roman" w:cs="Times New Roman"/>
          <w:sz w:val="24"/>
          <w:szCs w:val="24"/>
        </w:rPr>
      </w:pPr>
      <w:r w:rsidRPr="005C429C">
        <w:rPr>
          <w:rFonts w:ascii="Times New Roman" w:hAnsi="Times New Roman" w:cs="Times New Roman"/>
          <w:sz w:val="24"/>
          <w:szCs w:val="24"/>
        </w:rPr>
        <w:t>Appendix C</w:t>
      </w:r>
      <w:r w:rsidR="00023DAC" w:rsidRPr="005C429C">
        <w:rPr>
          <w:rFonts w:ascii="Times New Roman" w:hAnsi="Times New Roman" w:cs="Times New Roman"/>
          <w:sz w:val="24"/>
          <w:szCs w:val="24"/>
        </w:rPr>
        <w:t>4</w:t>
      </w:r>
      <w:r w:rsidR="0022040F" w:rsidRPr="005C429C">
        <w:rPr>
          <w:rFonts w:ascii="Times New Roman" w:hAnsi="Times New Roman" w:cs="Times New Roman"/>
          <w:sz w:val="24"/>
          <w:szCs w:val="24"/>
        </w:rPr>
        <w:t>. Cross validations and predictions</w:t>
      </w:r>
      <w:r w:rsidR="00023DAC" w:rsidRPr="005C429C">
        <w:rPr>
          <w:rFonts w:ascii="Times New Roman" w:hAnsi="Times New Roman" w:cs="Times New Roman"/>
          <w:sz w:val="24"/>
          <w:szCs w:val="24"/>
        </w:rPr>
        <w:t xml:space="preserve"> for the analysis of surrogate relationships for individual treatments</w:t>
      </w:r>
    </w:p>
    <w:p w14:paraId="65381811" w14:textId="441588E2" w:rsidR="00823CB1" w:rsidRPr="005C429C" w:rsidRDefault="00023DAC" w:rsidP="00DB55E9">
      <w:pPr>
        <w:jc w:val="both"/>
        <w:rPr>
          <w:rFonts w:ascii="Times New Roman" w:hAnsi="Times New Roman" w:cs="Times New Roman"/>
        </w:rPr>
      </w:pPr>
      <w:r w:rsidRPr="005C429C">
        <w:rPr>
          <w:rFonts w:ascii="Times New Roman" w:hAnsi="Times New Roman" w:cs="Times New Roman"/>
        </w:rPr>
        <w:t>Leave</w:t>
      </w:r>
      <w:r w:rsidR="00AD19E8" w:rsidRPr="005C429C">
        <w:rPr>
          <w:rFonts w:ascii="Times New Roman" w:hAnsi="Times New Roman" w:cs="Times New Roman"/>
        </w:rPr>
        <w:t xml:space="preserve">-one-out cross-validation was also performed to evaluate the predictive value of Aβ </w:t>
      </w:r>
      <w:r w:rsidR="005D75FE" w:rsidRPr="005C429C">
        <w:rPr>
          <w:rFonts w:ascii="Times New Roman" w:hAnsi="Times New Roman" w:cs="Times New Roman"/>
        </w:rPr>
        <w:t xml:space="preserve">for CDR-SOB </w:t>
      </w:r>
      <w:r w:rsidR="00AD19E8" w:rsidRPr="005C429C">
        <w:rPr>
          <w:rFonts w:ascii="Times New Roman" w:hAnsi="Times New Roman" w:cs="Times New Roman"/>
        </w:rPr>
        <w:t xml:space="preserve">using the hierarchical models. The full exchangeability model demonstrated good coverage in terms of all predicted intervals including the observed effect estimates on CDR-SOB. The average absolute difference between the observed and predicted effect estimates was 0.32, and the average ratio of the width of intervals between the predicted and observed treatment effect was 2.49. A forest plot showing the observed effects and predicted effects of CDR-SOB for each study are presented in </w:t>
      </w:r>
      <w:r w:rsidR="00BC3A1A" w:rsidRPr="005C429C">
        <w:rPr>
          <w:rFonts w:ascii="Times New Roman" w:hAnsi="Times New Roman" w:cs="Times New Roman"/>
        </w:rPr>
        <w:t>Figure S</w:t>
      </w:r>
      <w:r w:rsidR="00AD19E8" w:rsidRPr="005C429C">
        <w:rPr>
          <w:rFonts w:ascii="Times New Roman" w:hAnsi="Times New Roman" w:cs="Times New Roman"/>
        </w:rPr>
        <w:t>8.</w:t>
      </w:r>
    </w:p>
    <w:p w14:paraId="6F6425D7" w14:textId="3D414B1C" w:rsidR="00823CB1" w:rsidRPr="005C429C" w:rsidRDefault="00AA059E" w:rsidP="00DB55E9">
      <w:pPr>
        <w:pStyle w:val="NormalWeb"/>
        <w:jc w:val="both"/>
      </w:pPr>
      <w:r w:rsidRPr="005C429C">
        <w:rPr>
          <w:noProof/>
        </w:rPr>
        <w:lastRenderedPageBreak/>
        <w:drawing>
          <wp:inline distT="0" distB="0" distL="0" distR="0" wp14:anchorId="3B0DBD89" wp14:editId="64278022">
            <wp:extent cx="5731510" cy="3343275"/>
            <wp:effectExtent l="0" t="0" r="2540" b="9525"/>
            <wp:docPr id="16802549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343275"/>
                    </a:xfrm>
                    <a:prstGeom prst="rect">
                      <a:avLst/>
                    </a:prstGeom>
                    <a:noFill/>
                    <a:ln>
                      <a:noFill/>
                    </a:ln>
                  </pic:spPr>
                </pic:pic>
              </a:graphicData>
            </a:graphic>
          </wp:inline>
        </w:drawing>
      </w:r>
      <w:r w:rsidR="00BC3A1A" w:rsidRPr="005C429C">
        <w:rPr>
          <w:sz w:val="22"/>
          <w:szCs w:val="22"/>
        </w:rPr>
        <w:t>Figure S</w:t>
      </w:r>
      <w:r w:rsidR="00D25EFA" w:rsidRPr="005C429C">
        <w:rPr>
          <w:sz w:val="22"/>
          <w:szCs w:val="22"/>
        </w:rPr>
        <w:t>8</w:t>
      </w:r>
      <w:r w:rsidR="00823CB1" w:rsidRPr="005C429C">
        <w:rPr>
          <w:sz w:val="22"/>
          <w:szCs w:val="22"/>
        </w:rPr>
        <w:t>. Forest plot illustrating the observed treatment on Clinical Dementia Rating – Sum of Boxes (CDR-SOB) and the corresponding predicted effect on CDR-SOB using full exchangeability model.</w:t>
      </w:r>
    </w:p>
    <w:p w14:paraId="03D66753" w14:textId="77777777" w:rsidR="009D6087" w:rsidRPr="005C429C" w:rsidRDefault="009D6087" w:rsidP="00DB55E9">
      <w:pPr>
        <w:jc w:val="both"/>
        <w:rPr>
          <w:rFonts w:ascii="Times New Roman" w:hAnsi="Times New Roman" w:cs="Times New Roman"/>
        </w:rPr>
      </w:pPr>
    </w:p>
    <w:p w14:paraId="534695BF" w14:textId="77777777" w:rsidR="009D6087" w:rsidRPr="005C429C" w:rsidRDefault="009D6087" w:rsidP="00DB55E9">
      <w:pPr>
        <w:jc w:val="both"/>
        <w:rPr>
          <w:rFonts w:ascii="Times New Roman" w:hAnsi="Times New Roman" w:cs="Times New Roman"/>
          <w:sz w:val="28"/>
          <w:szCs w:val="28"/>
        </w:rPr>
      </w:pPr>
      <w:r w:rsidRPr="005C429C">
        <w:rPr>
          <w:rFonts w:ascii="Times New Roman" w:hAnsi="Times New Roman" w:cs="Times New Roman"/>
          <w:sz w:val="28"/>
          <w:szCs w:val="28"/>
        </w:rPr>
        <w:t>References</w:t>
      </w:r>
    </w:p>
    <w:p w14:paraId="526A499E" w14:textId="77777777" w:rsidR="008A4505" w:rsidRPr="005C429C" w:rsidRDefault="009D6087" w:rsidP="00DB55E9">
      <w:pPr>
        <w:pStyle w:val="Bibliography"/>
        <w:spacing w:line="240" w:lineRule="auto"/>
        <w:jc w:val="both"/>
        <w:rPr>
          <w:rFonts w:ascii="Times New Roman" w:hAnsi="Times New Roman" w:cs="Times New Roman"/>
          <w:sz w:val="20"/>
        </w:rPr>
      </w:pPr>
      <w:r w:rsidRPr="005C429C">
        <w:rPr>
          <w:rFonts w:ascii="Times New Roman" w:hAnsi="Times New Roman" w:cs="Times New Roman"/>
          <w:sz w:val="20"/>
          <w:szCs w:val="20"/>
        </w:rPr>
        <w:fldChar w:fldCharType="begin"/>
      </w:r>
      <w:r w:rsidRPr="005C429C">
        <w:rPr>
          <w:rFonts w:ascii="Times New Roman" w:hAnsi="Times New Roman" w:cs="Times New Roman"/>
          <w:sz w:val="20"/>
          <w:szCs w:val="20"/>
        </w:rPr>
        <w:instrText xml:space="preserve"> ADDIN ZOTERO_BIBL {"uncited":[],"omitted":[],"custom":[]} CSL_BIBLIOGRAPHY </w:instrText>
      </w:r>
      <w:r w:rsidRPr="005C429C">
        <w:rPr>
          <w:rFonts w:ascii="Times New Roman" w:hAnsi="Times New Roman" w:cs="Times New Roman"/>
          <w:sz w:val="20"/>
          <w:szCs w:val="20"/>
        </w:rPr>
        <w:fldChar w:fldCharType="separate"/>
      </w:r>
      <w:r w:rsidR="008A4505" w:rsidRPr="005C429C">
        <w:rPr>
          <w:rFonts w:ascii="Times New Roman" w:hAnsi="Times New Roman" w:cs="Times New Roman"/>
          <w:sz w:val="20"/>
        </w:rPr>
        <w:t>1.</w:t>
      </w:r>
      <w:r w:rsidR="008A4505" w:rsidRPr="005C429C">
        <w:rPr>
          <w:rFonts w:ascii="Times New Roman" w:hAnsi="Times New Roman" w:cs="Times New Roman"/>
          <w:sz w:val="20"/>
        </w:rPr>
        <w:tab/>
        <w:t xml:space="preserve">Klunk, W. E. </w:t>
      </w:r>
      <w:r w:rsidR="008A4505" w:rsidRPr="005C429C">
        <w:rPr>
          <w:rFonts w:ascii="Times New Roman" w:hAnsi="Times New Roman" w:cs="Times New Roman"/>
          <w:i/>
          <w:iCs/>
          <w:sz w:val="20"/>
        </w:rPr>
        <w:t>et al.</w:t>
      </w:r>
      <w:r w:rsidR="008A4505" w:rsidRPr="005C429C">
        <w:rPr>
          <w:rFonts w:ascii="Times New Roman" w:hAnsi="Times New Roman" w:cs="Times New Roman"/>
          <w:sz w:val="20"/>
        </w:rPr>
        <w:t xml:space="preserve"> The Centiloid Project: Standardizing quantitative amyloid plaque estimation by PET. </w:t>
      </w:r>
      <w:r w:rsidR="008A4505" w:rsidRPr="005C429C">
        <w:rPr>
          <w:rFonts w:ascii="Times New Roman" w:hAnsi="Times New Roman" w:cs="Times New Roman"/>
          <w:i/>
          <w:iCs/>
          <w:sz w:val="20"/>
        </w:rPr>
        <w:t>Alzheimer’s &amp; Dementia</w:t>
      </w:r>
      <w:r w:rsidR="008A4505" w:rsidRPr="005C429C">
        <w:rPr>
          <w:rFonts w:ascii="Times New Roman" w:hAnsi="Times New Roman" w:cs="Times New Roman"/>
          <w:sz w:val="20"/>
        </w:rPr>
        <w:t xml:space="preserve"> 11, 1-15.e4 (2015).</w:t>
      </w:r>
    </w:p>
    <w:p w14:paraId="52971EF8" w14:textId="77777777" w:rsidR="008A4505" w:rsidRPr="005C429C" w:rsidRDefault="008A4505" w:rsidP="00DB55E9">
      <w:pPr>
        <w:pStyle w:val="Bibliography"/>
        <w:spacing w:line="240" w:lineRule="auto"/>
        <w:jc w:val="both"/>
        <w:rPr>
          <w:rFonts w:ascii="Times New Roman" w:hAnsi="Times New Roman" w:cs="Times New Roman"/>
          <w:sz w:val="20"/>
        </w:rPr>
      </w:pPr>
      <w:r w:rsidRPr="005C429C">
        <w:rPr>
          <w:rFonts w:ascii="Times New Roman" w:hAnsi="Times New Roman" w:cs="Times New Roman"/>
          <w:sz w:val="20"/>
        </w:rPr>
        <w:t>2.</w:t>
      </w:r>
      <w:r w:rsidRPr="005C429C">
        <w:rPr>
          <w:rFonts w:ascii="Times New Roman" w:hAnsi="Times New Roman" w:cs="Times New Roman"/>
          <w:sz w:val="20"/>
        </w:rPr>
        <w:tab/>
        <w:t xml:space="preserve">Navitsky, M. </w:t>
      </w:r>
      <w:r w:rsidRPr="005C429C">
        <w:rPr>
          <w:rFonts w:ascii="Times New Roman" w:hAnsi="Times New Roman" w:cs="Times New Roman"/>
          <w:i/>
          <w:iCs/>
          <w:sz w:val="20"/>
        </w:rPr>
        <w:t>et al.</w:t>
      </w:r>
      <w:r w:rsidRPr="005C429C">
        <w:rPr>
          <w:rFonts w:ascii="Times New Roman" w:hAnsi="Times New Roman" w:cs="Times New Roman"/>
          <w:sz w:val="20"/>
        </w:rPr>
        <w:t xml:space="preserve"> Standardization of amyloid quantitation with florbetapir standardized uptake value ratios to the Centiloid scale. </w:t>
      </w:r>
      <w:r w:rsidRPr="005C429C">
        <w:rPr>
          <w:rFonts w:ascii="Times New Roman" w:hAnsi="Times New Roman" w:cs="Times New Roman"/>
          <w:i/>
          <w:iCs/>
          <w:sz w:val="20"/>
        </w:rPr>
        <w:t>Alzheimer’s &amp; Dementia</w:t>
      </w:r>
      <w:r w:rsidRPr="005C429C">
        <w:rPr>
          <w:rFonts w:ascii="Times New Roman" w:hAnsi="Times New Roman" w:cs="Times New Roman"/>
          <w:sz w:val="20"/>
        </w:rPr>
        <w:t xml:space="preserve"> 14, 1565–1571 (2018).</w:t>
      </w:r>
    </w:p>
    <w:p w14:paraId="0A8BF181" w14:textId="77777777" w:rsidR="008A4505" w:rsidRPr="005C429C" w:rsidRDefault="008A4505" w:rsidP="00DB55E9">
      <w:pPr>
        <w:pStyle w:val="Bibliography"/>
        <w:spacing w:line="240" w:lineRule="auto"/>
        <w:jc w:val="both"/>
        <w:rPr>
          <w:rFonts w:ascii="Times New Roman" w:hAnsi="Times New Roman" w:cs="Times New Roman"/>
          <w:sz w:val="20"/>
        </w:rPr>
      </w:pPr>
      <w:r w:rsidRPr="005C429C">
        <w:rPr>
          <w:rFonts w:ascii="Times New Roman" w:hAnsi="Times New Roman" w:cs="Times New Roman"/>
          <w:sz w:val="20"/>
        </w:rPr>
        <w:t>3.</w:t>
      </w:r>
      <w:r w:rsidRPr="005C429C">
        <w:rPr>
          <w:rFonts w:ascii="Times New Roman" w:hAnsi="Times New Roman" w:cs="Times New Roman"/>
          <w:sz w:val="20"/>
        </w:rPr>
        <w:tab/>
        <w:t xml:space="preserve">Rowe, C. C. </w:t>
      </w:r>
      <w:r w:rsidRPr="005C429C">
        <w:rPr>
          <w:rFonts w:ascii="Times New Roman" w:hAnsi="Times New Roman" w:cs="Times New Roman"/>
          <w:i/>
          <w:iCs/>
          <w:sz w:val="20"/>
        </w:rPr>
        <w:t>et al.</w:t>
      </w:r>
      <w:r w:rsidRPr="005C429C">
        <w:rPr>
          <w:rFonts w:ascii="Times New Roman" w:hAnsi="Times New Roman" w:cs="Times New Roman"/>
          <w:sz w:val="20"/>
        </w:rPr>
        <w:t xml:space="preserve"> 18F-Florbetaben PET beta-amyloid binding expressed in Centiloids. </w:t>
      </w:r>
      <w:r w:rsidRPr="005C429C">
        <w:rPr>
          <w:rFonts w:ascii="Times New Roman" w:hAnsi="Times New Roman" w:cs="Times New Roman"/>
          <w:i/>
          <w:iCs/>
          <w:sz w:val="20"/>
        </w:rPr>
        <w:t>Eur J Nucl Med Mol Imaging</w:t>
      </w:r>
      <w:r w:rsidRPr="005C429C">
        <w:rPr>
          <w:rFonts w:ascii="Times New Roman" w:hAnsi="Times New Roman" w:cs="Times New Roman"/>
          <w:sz w:val="20"/>
        </w:rPr>
        <w:t xml:space="preserve"> 44, 2053–2059 (2017).</w:t>
      </w:r>
    </w:p>
    <w:p w14:paraId="35BC9A6F" w14:textId="77777777" w:rsidR="008A4505" w:rsidRPr="005C429C" w:rsidRDefault="008A4505" w:rsidP="00DB55E9">
      <w:pPr>
        <w:pStyle w:val="Bibliography"/>
        <w:spacing w:line="240" w:lineRule="auto"/>
        <w:jc w:val="both"/>
        <w:rPr>
          <w:rFonts w:ascii="Times New Roman" w:hAnsi="Times New Roman" w:cs="Times New Roman"/>
          <w:sz w:val="20"/>
        </w:rPr>
      </w:pPr>
      <w:r w:rsidRPr="005C429C">
        <w:rPr>
          <w:rFonts w:ascii="Times New Roman" w:hAnsi="Times New Roman" w:cs="Times New Roman"/>
          <w:sz w:val="20"/>
        </w:rPr>
        <w:t>4.</w:t>
      </w:r>
      <w:r w:rsidRPr="005C429C">
        <w:rPr>
          <w:rFonts w:ascii="Times New Roman" w:hAnsi="Times New Roman" w:cs="Times New Roman"/>
          <w:sz w:val="20"/>
        </w:rPr>
        <w:tab/>
        <w:t xml:space="preserve">Hanseeuw, B. J. </w:t>
      </w:r>
      <w:r w:rsidRPr="005C429C">
        <w:rPr>
          <w:rFonts w:ascii="Times New Roman" w:hAnsi="Times New Roman" w:cs="Times New Roman"/>
          <w:i/>
          <w:iCs/>
          <w:sz w:val="20"/>
        </w:rPr>
        <w:t>et al.</w:t>
      </w:r>
      <w:r w:rsidRPr="005C429C">
        <w:rPr>
          <w:rFonts w:ascii="Times New Roman" w:hAnsi="Times New Roman" w:cs="Times New Roman"/>
          <w:sz w:val="20"/>
        </w:rPr>
        <w:t xml:space="preserve"> Defining a Centiloid scale threshold predicting long-term progression to dementia in patients attending the memory clinic: an [18F] flutemetamol amyloid PET study. </w:t>
      </w:r>
      <w:r w:rsidRPr="005C429C">
        <w:rPr>
          <w:rFonts w:ascii="Times New Roman" w:hAnsi="Times New Roman" w:cs="Times New Roman"/>
          <w:i/>
          <w:iCs/>
          <w:sz w:val="20"/>
        </w:rPr>
        <w:t>Eur J Nucl Med Mol Imaging</w:t>
      </w:r>
      <w:r w:rsidRPr="005C429C">
        <w:rPr>
          <w:rFonts w:ascii="Times New Roman" w:hAnsi="Times New Roman" w:cs="Times New Roman"/>
          <w:sz w:val="20"/>
        </w:rPr>
        <w:t xml:space="preserve"> 48, 302–310 (2021).</w:t>
      </w:r>
    </w:p>
    <w:p w14:paraId="1F7D737C" w14:textId="77777777" w:rsidR="008A4505" w:rsidRPr="005C429C" w:rsidRDefault="008A4505" w:rsidP="00DB55E9">
      <w:pPr>
        <w:pStyle w:val="Bibliography"/>
        <w:spacing w:line="240" w:lineRule="auto"/>
        <w:jc w:val="both"/>
        <w:rPr>
          <w:rFonts w:ascii="Times New Roman" w:hAnsi="Times New Roman" w:cs="Times New Roman"/>
          <w:sz w:val="20"/>
        </w:rPr>
      </w:pPr>
      <w:r w:rsidRPr="005C429C">
        <w:rPr>
          <w:rFonts w:ascii="Times New Roman" w:hAnsi="Times New Roman" w:cs="Times New Roman"/>
          <w:sz w:val="20"/>
        </w:rPr>
        <w:t>5.</w:t>
      </w:r>
      <w:r w:rsidRPr="005C429C">
        <w:rPr>
          <w:rFonts w:ascii="Times New Roman" w:hAnsi="Times New Roman" w:cs="Times New Roman"/>
          <w:sz w:val="20"/>
        </w:rPr>
        <w:tab/>
        <w:t xml:space="preserve">Avgerinos, K. I., Ferrucci, L. &amp; Kapogiannis, D. Effects of monoclonal antibodies against amyloid-β on clinical and biomarker outcomes and adverse event risks: A systematic review and meta-analysis of phase III RCTs in Alzheimer’s disease. </w:t>
      </w:r>
      <w:r w:rsidRPr="005C429C">
        <w:rPr>
          <w:rFonts w:ascii="Times New Roman" w:hAnsi="Times New Roman" w:cs="Times New Roman"/>
          <w:i/>
          <w:iCs/>
          <w:sz w:val="20"/>
        </w:rPr>
        <w:t>Ageing Res Rev</w:t>
      </w:r>
      <w:r w:rsidRPr="005C429C">
        <w:rPr>
          <w:rFonts w:ascii="Times New Roman" w:hAnsi="Times New Roman" w:cs="Times New Roman"/>
          <w:sz w:val="20"/>
        </w:rPr>
        <w:t xml:space="preserve"> 68, 101339 (2021).</w:t>
      </w:r>
    </w:p>
    <w:p w14:paraId="2AC429C0" w14:textId="77777777" w:rsidR="008A4505" w:rsidRPr="005C429C" w:rsidRDefault="008A4505" w:rsidP="00DB55E9">
      <w:pPr>
        <w:pStyle w:val="Bibliography"/>
        <w:spacing w:line="240" w:lineRule="auto"/>
        <w:jc w:val="both"/>
        <w:rPr>
          <w:rFonts w:ascii="Times New Roman" w:hAnsi="Times New Roman" w:cs="Times New Roman"/>
          <w:sz w:val="20"/>
        </w:rPr>
      </w:pPr>
      <w:r w:rsidRPr="005C429C">
        <w:rPr>
          <w:rFonts w:ascii="Times New Roman" w:hAnsi="Times New Roman" w:cs="Times New Roman"/>
          <w:sz w:val="20"/>
        </w:rPr>
        <w:t>6.</w:t>
      </w:r>
      <w:r w:rsidRPr="005C429C">
        <w:rPr>
          <w:rFonts w:ascii="Times New Roman" w:hAnsi="Times New Roman" w:cs="Times New Roman"/>
          <w:sz w:val="20"/>
        </w:rPr>
        <w:tab/>
        <w:t xml:space="preserve">Lacorte, E. </w:t>
      </w:r>
      <w:r w:rsidRPr="005C429C">
        <w:rPr>
          <w:rFonts w:ascii="Times New Roman" w:hAnsi="Times New Roman" w:cs="Times New Roman"/>
          <w:i/>
          <w:iCs/>
          <w:sz w:val="20"/>
        </w:rPr>
        <w:t>et al.</w:t>
      </w:r>
      <w:r w:rsidRPr="005C429C">
        <w:rPr>
          <w:rFonts w:ascii="Times New Roman" w:hAnsi="Times New Roman" w:cs="Times New Roman"/>
          <w:sz w:val="20"/>
        </w:rPr>
        <w:t xml:space="preserve"> Safety and Efficacy of Monoclonal Antibodies for Alzheimer’s Disease: A Systematic Review and Meta-Analysis of Published and Unpublished Clinical Trials. </w:t>
      </w:r>
      <w:r w:rsidRPr="005C429C">
        <w:rPr>
          <w:rFonts w:ascii="Times New Roman" w:hAnsi="Times New Roman" w:cs="Times New Roman"/>
          <w:i/>
          <w:iCs/>
          <w:sz w:val="20"/>
        </w:rPr>
        <w:t>J Alzheimers Dis</w:t>
      </w:r>
      <w:r w:rsidRPr="005C429C">
        <w:rPr>
          <w:rFonts w:ascii="Times New Roman" w:hAnsi="Times New Roman" w:cs="Times New Roman"/>
          <w:sz w:val="20"/>
        </w:rPr>
        <w:t xml:space="preserve"> 87, 101–129 (2022).</w:t>
      </w:r>
    </w:p>
    <w:p w14:paraId="42826C16" w14:textId="77777777" w:rsidR="008A4505" w:rsidRPr="005C429C" w:rsidRDefault="008A4505" w:rsidP="00DB55E9">
      <w:pPr>
        <w:pStyle w:val="Bibliography"/>
        <w:spacing w:line="240" w:lineRule="auto"/>
        <w:jc w:val="both"/>
        <w:rPr>
          <w:rFonts w:ascii="Times New Roman" w:hAnsi="Times New Roman" w:cs="Times New Roman"/>
          <w:sz w:val="20"/>
        </w:rPr>
      </w:pPr>
      <w:r w:rsidRPr="005C429C">
        <w:rPr>
          <w:rFonts w:ascii="Times New Roman" w:hAnsi="Times New Roman" w:cs="Times New Roman"/>
          <w:sz w:val="20"/>
        </w:rPr>
        <w:t>7.</w:t>
      </w:r>
      <w:r w:rsidRPr="005C429C">
        <w:rPr>
          <w:rFonts w:ascii="Times New Roman" w:hAnsi="Times New Roman" w:cs="Times New Roman"/>
          <w:sz w:val="20"/>
        </w:rPr>
        <w:tab/>
        <w:t xml:space="preserve">Lyu, D., Lyu, X., Huang, L. &amp; Fang, B. Effects of three kinds of anti-amyloid-β drugs on clinical, biomarker, neuroimaging outcomes and safety indexes: A systematic review and meta-analysis of phase II/III clinical trials in Alzheimer’s disease. </w:t>
      </w:r>
      <w:r w:rsidRPr="005C429C">
        <w:rPr>
          <w:rFonts w:ascii="Times New Roman" w:hAnsi="Times New Roman" w:cs="Times New Roman"/>
          <w:i/>
          <w:iCs/>
          <w:sz w:val="20"/>
        </w:rPr>
        <w:t>Ageing Research Reviews</w:t>
      </w:r>
      <w:r w:rsidRPr="005C429C">
        <w:rPr>
          <w:rFonts w:ascii="Times New Roman" w:hAnsi="Times New Roman" w:cs="Times New Roman"/>
          <w:sz w:val="20"/>
        </w:rPr>
        <w:t xml:space="preserve"> 88, 101959 (2023).</w:t>
      </w:r>
    </w:p>
    <w:p w14:paraId="207970D2" w14:textId="77777777" w:rsidR="008A4505" w:rsidRPr="005C429C" w:rsidRDefault="008A4505" w:rsidP="00DB55E9">
      <w:pPr>
        <w:pStyle w:val="Bibliography"/>
        <w:spacing w:line="240" w:lineRule="auto"/>
        <w:jc w:val="both"/>
        <w:rPr>
          <w:rFonts w:ascii="Times New Roman" w:hAnsi="Times New Roman" w:cs="Times New Roman"/>
          <w:sz w:val="20"/>
        </w:rPr>
      </w:pPr>
      <w:r w:rsidRPr="005C429C">
        <w:rPr>
          <w:rFonts w:ascii="Times New Roman" w:hAnsi="Times New Roman" w:cs="Times New Roman"/>
          <w:sz w:val="20"/>
        </w:rPr>
        <w:t>8.</w:t>
      </w:r>
      <w:r w:rsidRPr="005C429C">
        <w:rPr>
          <w:rFonts w:ascii="Times New Roman" w:hAnsi="Times New Roman" w:cs="Times New Roman"/>
          <w:sz w:val="20"/>
        </w:rPr>
        <w:tab/>
        <w:t xml:space="preserve">Jeremic, D., Navarro-López, J. D. &amp; Jiménez-Díaz, L. Efficacy and safety of anti-amyloid-β monoclonal antibodies in current Alzheimer’s disease phase III clinical trials: A systematic review and interactive web app-based meta-analysis. </w:t>
      </w:r>
      <w:r w:rsidRPr="005C429C">
        <w:rPr>
          <w:rFonts w:ascii="Times New Roman" w:hAnsi="Times New Roman" w:cs="Times New Roman"/>
          <w:i/>
          <w:iCs/>
          <w:sz w:val="20"/>
        </w:rPr>
        <w:t>Ageing Res Rev</w:t>
      </w:r>
      <w:r w:rsidRPr="005C429C">
        <w:rPr>
          <w:rFonts w:ascii="Times New Roman" w:hAnsi="Times New Roman" w:cs="Times New Roman"/>
          <w:sz w:val="20"/>
        </w:rPr>
        <w:t xml:space="preserve"> 90, 102012 (2023).</w:t>
      </w:r>
    </w:p>
    <w:p w14:paraId="6DE9E02F" w14:textId="77777777" w:rsidR="008A4505" w:rsidRPr="005C429C" w:rsidRDefault="008A4505" w:rsidP="00DB55E9">
      <w:pPr>
        <w:pStyle w:val="Bibliography"/>
        <w:spacing w:line="240" w:lineRule="auto"/>
        <w:jc w:val="both"/>
        <w:rPr>
          <w:rFonts w:ascii="Times New Roman" w:hAnsi="Times New Roman" w:cs="Times New Roman"/>
          <w:sz w:val="20"/>
        </w:rPr>
      </w:pPr>
      <w:r w:rsidRPr="005C429C">
        <w:rPr>
          <w:rFonts w:ascii="Times New Roman" w:hAnsi="Times New Roman" w:cs="Times New Roman"/>
          <w:sz w:val="20"/>
        </w:rPr>
        <w:t>9.</w:t>
      </w:r>
      <w:r w:rsidRPr="005C429C">
        <w:rPr>
          <w:rFonts w:ascii="Times New Roman" w:hAnsi="Times New Roman" w:cs="Times New Roman"/>
          <w:sz w:val="20"/>
        </w:rPr>
        <w:tab/>
        <w:t xml:space="preserve">Richard, E., den Brok, M. G. H. E. &amp; van Gool, W. A. Bayes analysis supports null hypothesis of anti-amyloid beta therapy in Alzheimer’s disease. </w:t>
      </w:r>
      <w:r w:rsidRPr="005C429C">
        <w:rPr>
          <w:rFonts w:ascii="Times New Roman" w:hAnsi="Times New Roman" w:cs="Times New Roman"/>
          <w:i/>
          <w:iCs/>
          <w:sz w:val="20"/>
        </w:rPr>
        <w:t>Alzheimers Dement</w:t>
      </w:r>
      <w:r w:rsidRPr="005C429C">
        <w:rPr>
          <w:rFonts w:ascii="Times New Roman" w:hAnsi="Times New Roman" w:cs="Times New Roman"/>
          <w:sz w:val="20"/>
        </w:rPr>
        <w:t xml:space="preserve"> 17, 1051–1055 (2021).</w:t>
      </w:r>
    </w:p>
    <w:p w14:paraId="404A583F" w14:textId="77777777" w:rsidR="008A4505" w:rsidRPr="005C429C" w:rsidRDefault="008A4505" w:rsidP="00DB55E9">
      <w:pPr>
        <w:pStyle w:val="Bibliography"/>
        <w:spacing w:line="240" w:lineRule="auto"/>
        <w:jc w:val="both"/>
        <w:rPr>
          <w:rFonts w:ascii="Times New Roman" w:hAnsi="Times New Roman" w:cs="Times New Roman"/>
          <w:sz w:val="20"/>
        </w:rPr>
      </w:pPr>
      <w:r w:rsidRPr="005C429C">
        <w:rPr>
          <w:rFonts w:ascii="Times New Roman" w:hAnsi="Times New Roman" w:cs="Times New Roman"/>
          <w:sz w:val="20"/>
        </w:rPr>
        <w:t>10.</w:t>
      </w:r>
      <w:r w:rsidRPr="005C429C">
        <w:rPr>
          <w:rFonts w:ascii="Times New Roman" w:hAnsi="Times New Roman" w:cs="Times New Roman"/>
          <w:sz w:val="20"/>
        </w:rPr>
        <w:tab/>
        <w:t xml:space="preserve">Fernandez, P. E. L. &amp; Silva, G. D. Cognitive outcomes of anti-amyloid-β monoclonal antibodies in patients with Alzheimer’s disease: A systematic review and meta-analysis of randomized controlled trials. </w:t>
      </w:r>
      <w:r w:rsidRPr="005C429C">
        <w:rPr>
          <w:rFonts w:ascii="Times New Roman" w:hAnsi="Times New Roman" w:cs="Times New Roman"/>
          <w:i/>
          <w:iCs/>
          <w:sz w:val="20"/>
        </w:rPr>
        <w:t>Alzheimer’s &amp; Dementia</w:t>
      </w:r>
      <w:r w:rsidRPr="005C429C">
        <w:rPr>
          <w:rFonts w:ascii="Times New Roman" w:hAnsi="Times New Roman" w:cs="Times New Roman"/>
          <w:sz w:val="20"/>
        </w:rPr>
        <w:t xml:space="preserve"> 17, e057778 (2021).</w:t>
      </w:r>
    </w:p>
    <w:p w14:paraId="7F283563" w14:textId="77777777" w:rsidR="008A4505" w:rsidRPr="005C429C" w:rsidRDefault="008A4505" w:rsidP="00DB55E9">
      <w:pPr>
        <w:pStyle w:val="Bibliography"/>
        <w:spacing w:line="240" w:lineRule="auto"/>
        <w:jc w:val="both"/>
        <w:rPr>
          <w:rFonts w:ascii="Times New Roman" w:hAnsi="Times New Roman" w:cs="Times New Roman"/>
          <w:sz w:val="20"/>
        </w:rPr>
      </w:pPr>
      <w:r w:rsidRPr="005C429C">
        <w:rPr>
          <w:rFonts w:ascii="Times New Roman" w:hAnsi="Times New Roman" w:cs="Times New Roman"/>
          <w:sz w:val="20"/>
        </w:rPr>
        <w:t>11.</w:t>
      </w:r>
      <w:r w:rsidRPr="005C429C">
        <w:rPr>
          <w:rFonts w:ascii="Times New Roman" w:hAnsi="Times New Roman" w:cs="Times New Roman"/>
          <w:sz w:val="20"/>
        </w:rPr>
        <w:tab/>
        <w:t xml:space="preserve">Villain, N., Planche, V. &amp; Levy, R. High-clearance anti-amyloid immunotherapies in Alzheimer’s disease. Part 1: Meta-analysis and review of efficacy and safety data, and medico-economical aspects. </w:t>
      </w:r>
      <w:r w:rsidRPr="005C429C">
        <w:rPr>
          <w:rFonts w:ascii="Times New Roman" w:hAnsi="Times New Roman" w:cs="Times New Roman"/>
          <w:i/>
          <w:iCs/>
          <w:sz w:val="20"/>
        </w:rPr>
        <w:t>Rev Neurol (Paris)</w:t>
      </w:r>
      <w:r w:rsidRPr="005C429C">
        <w:rPr>
          <w:rFonts w:ascii="Times New Roman" w:hAnsi="Times New Roman" w:cs="Times New Roman"/>
          <w:sz w:val="20"/>
        </w:rPr>
        <w:t xml:space="preserve"> 178, 1011–1030 (2022).</w:t>
      </w:r>
    </w:p>
    <w:p w14:paraId="44950243" w14:textId="77777777" w:rsidR="008A4505" w:rsidRPr="005C429C" w:rsidRDefault="008A4505" w:rsidP="00DB55E9">
      <w:pPr>
        <w:pStyle w:val="Bibliography"/>
        <w:spacing w:line="240" w:lineRule="auto"/>
        <w:jc w:val="both"/>
        <w:rPr>
          <w:rFonts w:ascii="Times New Roman" w:hAnsi="Times New Roman" w:cs="Times New Roman"/>
          <w:sz w:val="20"/>
        </w:rPr>
      </w:pPr>
      <w:r w:rsidRPr="005C429C">
        <w:rPr>
          <w:rFonts w:ascii="Times New Roman" w:hAnsi="Times New Roman" w:cs="Times New Roman"/>
          <w:sz w:val="20"/>
        </w:rPr>
        <w:lastRenderedPageBreak/>
        <w:t>12.</w:t>
      </w:r>
      <w:r w:rsidRPr="005C429C">
        <w:rPr>
          <w:rFonts w:ascii="Times New Roman" w:hAnsi="Times New Roman" w:cs="Times New Roman"/>
          <w:sz w:val="20"/>
        </w:rPr>
        <w:tab/>
        <w:t xml:space="preserve">Teipel, S. J., Temp, A. G. M. &amp; Lutz, M. W. Bayesian meta-analysis of phase 3 results of aducanumab, lecanemab, donanemab, and high-dose gantenerumab in prodromal and mild Alzheimer’s disease. </w:t>
      </w:r>
      <w:r w:rsidRPr="005C429C">
        <w:rPr>
          <w:rFonts w:ascii="Times New Roman" w:hAnsi="Times New Roman" w:cs="Times New Roman"/>
          <w:i/>
          <w:iCs/>
          <w:sz w:val="20"/>
        </w:rPr>
        <w:t>Alzheimers Dement (N Y)</w:t>
      </w:r>
      <w:r w:rsidRPr="005C429C">
        <w:rPr>
          <w:rFonts w:ascii="Times New Roman" w:hAnsi="Times New Roman" w:cs="Times New Roman"/>
          <w:sz w:val="20"/>
        </w:rPr>
        <w:t xml:space="preserve"> 10, e12454 (2024).</w:t>
      </w:r>
    </w:p>
    <w:p w14:paraId="00B470A8" w14:textId="16AE2FB0" w:rsidR="00BB7746" w:rsidRPr="005C429C" w:rsidRDefault="008A4505" w:rsidP="00DB55E9">
      <w:pPr>
        <w:pStyle w:val="Bibliography"/>
        <w:spacing w:line="240" w:lineRule="auto"/>
        <w:jc w:val="both"/>
        <w:rPr>
          <w:rFonts w:ascii="Times New Roman" w:hAnsi="Times New Roman" w:cs="Times New Roman"/>
        </w:rPr>
      </w:pPr>
      <w:r w:rsidRPr="005C429C">
        <w:rPr>
          <w:rFonts w:ascii="Times New Roman" w:hAnsi="Times New Roman" w:cs="Times New Roman"/>
          <w:sz w:val="20"/>
        </w:rPr>
        <w:t>13.</w:t>
      </w:r>
      <w:r w:rsidRPr="005C429C">
        <w:rPr>
          <w:rFonts w:ascii="Times New Roman" w:hAnsi="Times New Roman" w:cs="Times New Roman"/>
          <w:sz w:val="20"/>
        </w:rPr>
        <w:tab/>
        <w:t xml:space="preserve">Holdridge, K. C., Yaari, R., Hoban, D. B., Andersen, S. &amp; Sims, J. R. Targeting amyloid β in Alzheimer’s disease: Meta-analysis of low-dose solanezumab in Alzheimer’s disease with mild dementia studies. </w:t>
      </w:r>
      <w:r w:rsidRPr="005C429C">
        <w:rPr>
          <w:rFonts w:ascii="Times New Roman" w:hAnsi="Times New Roman" w:cs="Times New Roman"/>
          <w:i/>
          <w:iCs/>
          <w:sz w:val="20"/>
        </w:rPr>
        <w:t>Alzheimers Dement</w:t>
      </w:r>
      <w:r w:rsidRPr="005C429C">
        <w:rPr>
          <w:rFonts w:ascii="Times New Roman" w:hAnsi="Times New Roman" w:cs="Times New Roman"/>
          <w:sz w:val="20"/>
        </w:rPr>
        <w:t xml:space="preserve"> 19, 4619–4628 (2023).</w:t>
      </w:r>
      <w:r w:rsidR="009D6087" w:rsidRPr="005C429C">
        <w:rPr>
          <w:rFonts w:ascii="Times New Roman" w:hAnsi="Times New Roman" w:cs="Times New Roman"/>
          <w:sz w:val="20"/>
          <w:szCs w:val="20"/>
        </w:rPr>
        <w:fldChar w:fldCharType="end"/>
      </w:r>
    </w:p>
    <w:sectPr w:rsidR="00BB7746" w:rsidRPr="005C429C" w:rsidSect="00624DF1">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034A5" w14:textId="77777777" w:rsidR="00782848" w:rsidRDefault="00782848" w:rsidP="00835749">
      <w:pPr>
        <w:spacing w:after="0" w:line="240" w:lineRule="auto"/>
      </w:pPr>
      <w:r>
        <w:separator/>
      </w:r>
    </w:p>
  </w:endnote>
  <w:endnote w:type="continuationSeparator" w:id="0">
    <w:p w14:paraId="186862BA" w14:textId="77777777" w:rsidR="00782848" w:rsidRDefault="00782848" w:rsidP="00835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0722416"/>
      <w:docPartObj>
        <w:docPartGallery w:val="Page Numbers (Bottom of Page)"/>
        <w:docPartUnique/>
      </w:docPartObj>
    </w:sdtPr>
    <w:sdtEndPr>
      <w:rPr>
        <w:noProof/>
      </w:rPr>
    </w:sdtEndPr>
    <w:sdtContent>
      <w:p w14:paraId="7F4E67E4" w14:textId="29FBD05D" w:rsidR="00835749" w:rsidRDefault="008357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276E08" w14:textId="77777777" w:rsidR="00835749" w:rsidRDefault="00835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11E54" w14:textId="77777777" w:rsidR="00782848" w:rsidRDefault="00782848" w:rsidP="00835749">
      <w:pPr>
        <w:spacing w:after="0" w:line="240" w:lineRule="auto"/>
      </w:pPr>
      <w:r>
        <w:separator/>
      </w:r>
    </w:p>
  </w:footnote>
  <w:footnote w:type="continuationSeparator" w:id="0">
    <w:p w14:paraId="084A2390" w14:textId="77777777" w:rsidR="00782848" w:rsidRDefault="00782848" w:rsidP="008357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93E"/>
    <w:rsid w:val="000068EE"/>
    <w:rsid w:val="00013BA0"/>
    <w:rsid w:val="00023DAC"/>
    <w:rsid w:val="0006651C"/>
    <w:rsid w:val="00072ACA"/>
    <w:rsid w:val="000E15EC"/>
    <w:rsid w:val="000F7570"/>
    <w:rsid w:val="0013617E"/>
    <w:rsid w:val="001418A3"/>
    <w:rsid w:val="00145129"/>
    <w:rsid w:val="00167D5D"/>
    <w:rsid w:val="00183BFD"/>
    <w:rsid w:val="001853C6"/>
    <w:rsid w:val="001C55E9"/>
    <w:rsid w:val="001D0BFA"/>
    <w:rsid w:val="001D328A"/>
    <w:rsid w:val="001F45A5"/>
    <w:rsid w:val="001F62D1"/>
    <w:rsid w:val="002074AC"/>
    <w:rsid w:val="00215419"/>
    <w:rsid w:val="00215521"/>
    <w:rsid w:val="0022040F"/>
    <w:rsid w:val="00223AD4"/>
    <w:rsid w:val="00231B86"/>
    <w:rsid w:val="00236786"/>
    <w:rsid w:val="00241C9A"/>
    <w:rsid w:val="00262C12"/>
    <w:rsid w:val="00292417"/>
    <w:rsid w:val="002A0A20"/>
    <w:rsid w:val="002A2B26"/>
    <w:rsid w:val="002C4223"/>
    <w:rsid w:val="002E2A0B"/>
    <w:rsid w:val="003428ED"/>
    <w:rsid w:val="00350386"/>
    <w:rsid w:val="003B0AA3"/>
    <w:rsid w:val="003D2C5F"/>
    <w:rsid w:val="003D5157"/>
    <w:rsid w:val="00404F4A"/>
    <w:rsid w:val="0042380E"/>
    <w:rsid w:val="004445D1"/>
    <w:rsid w:val="0049794E"/>
    <w:rsid w:val="004D7988"/>
    <w:rsid w:val="0051143E"/>
    <w:rsid w:val="0052693E"/>
    <w:rsid w:val="00531622"/>
    <w:rsid w:val="005339FE"/>
    <w:rsid w:val="00551B4E"/>
    <w:rsid w:val="005534A7"/>
    <w:rsid w:val="005C429C"/>
    <w:rsid w:val="005D75FE"/>
    <w:rsid w:val="005E4060"/>
    <w:rsid w:val="005F291B"/>
    <w:rsid w:val="005F6B8A"/>
    <w:rsid w:val="00605C74"/>
    <w:rsid w:val="00624DF1"/>
    <w:rsid w:val="0063610C"/>
    <w:rsid w:val="006524D2"/>
    <w:rsid w:val="00662F6E"/>
    <w:rsid w:val="00667171"/>
    <w:rsid w:val="006A7708"/>
    <w:rsid w:val="006E0066"/>
    <w:rsid w:val="0070105C"/>
    <w:rsid w:val="00715DE1"/>
    <w:rsid w:val="0074340B"/>
    <w:rsid w:val="00772913"/>
    <w:rsid w:val="00782848"/>
    <w:rsid w:val="007960A8"/>
    <w:rsid w:val="007C3996"/>
    <w:rsid w:val="00823CB1"/>
    <w:rsid w:val="00823F6E"/>
    <w:rsid w:val="00831090"/>
    <w:rsid w:val="00832E35"/>
    <w:rsid w:val="00835749"/>
    <w:rsid w:val="00844D4E"/>
    <w:rsid w:val="008452D9"/>
    <w:rsid w:val="008A4505"/>
    <w:rsid w:val="008B293B"/>
    <w:rsid w:val="008E4088"/>
    <w:rsid w:val="009075A0"/>
    <w:rsid w:val="00923CDD"/>
    <w:rsid w:val="00972341"/>
    <w:rsid w:val="00977114"/>
    <w:rsid w:val="009D6087"/>
    <w:rsid w:val="009E0583"/>
    <w:rsid w:val="009E3809"/>
    <w:rsid w:val="00A13436"/>
    <w:rsid w:val="00A27745"/>
    <w:rsid w:val="00A80D13"/>
    <w:rsid w:val="00AA059E"/>
    <w:rsid w:val="00AD1165"/>
    <w:rsid w:val="00AD19E8"/>
    <w:rsid w:val="00AD4C3C"/>
    <w:rsid w:val="00AD57B5"/>
    <w:rsid w:val="00AE3223"/>
    <w:rsid w:val="00AE5ED8"/>
    <w:rsid w:val="00AE656B"/>
    <w:rsid w:val="00AF598C"/>
    <w:rsid w:val="00AF7278"/>
    <w:rsid w:val="00B04945"/>
    <w:rsid w:val="00B128C7"/>
    <w:rsid w:val="00B2009F"/>
    <w:rsid w:val="00B63A86"/>
    <w:rsid w:val="00B7728A"/>
    <w:rsid w:val="00B85661"/>
    <w:rsid w:val="00B9517D"/>
    <w:rsid w:val="00BA0984"/>
    <w:rsid w:val="00BB2B5C"/>
    <w:rsid w:val="00BB7746"/>
    <w:rsid w:val="00BC1560"/>
    <w:rsid w:val="00BC3A1A"/>
    <w:rsid w:val="00BF084D"/>
    <w:rsid w:val="00BF0CF4"/>
    <w:rsid w:val="00BF3623"/>
    <w:rsid w:val="00C020CC"/>
    <w:rsid w:val="00C16F9C"/>
    <w:rsid w:val="00C55F8F"/>
    <w:rsid w:val="00C9478E"/>
    <w:rsid w:val="00CC2054"/>
    <w:rsid w:val="00CC27CC"/>
    <w:rsid w:val="00CC3D51"/>
    <w:rsid w:val="00CE7ECE"/>
    <w:rsid w:val="00CF3675"/>
    <w:rsid w:val="00D2578E"/>
    <w:rsid w:val="00D25EFA"/>
    <w:rsid w:val="00D33067"/>
    <w:rsid w:val="00D87473"/>
    <w:rsid w:val="00DB55E9"/>
    <w:rsid w:val="00DE3F7F"/>
    <w:rsid w:val="00DF5C97"/>
    <w:rsid w:val="00EF26FF"/>
    <w:rsid w:val="00F12AE1"/>
    <w:rsid w:val="00F252F9"/>
    <w:rsid w:val="00F32F89"/>
    <w:rsid w:val="00F33FDD"/>
    <w:rsid w:val="00F42E03"/>
    <w:rsid w:val="00FD60FD"/>
    <w:rsid w:val="00FE369C"/>
    <w:rsid w:val="00FE74A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CC472"/>
  <w15:chartTrackingRefBased/>
  <w15:docId w15:val="{D6442814-6AF2-410B-BC83-98AD1B9C3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8C7"/>
  </w:style>
  <w:style w:type="paragraph" w:styleId="Heading1">
    <w:name w:val="heading 1"/>
    <w:basedOn w:val="Normal"/>
    <w:next w:val="Normal"/>
    <w:link w:val="Heading1Char"/>
    <w:uiPriority w:val="9"/>
    <w:qFormat/>
    <w:rsid w:val="00C947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7570"/>
    <w:pPr>
      <w:keepNext/>
      <w:keepLines/>
      <w:spacing w:before="40" w:after="0" w:line="276" w:lineRule="auto"/>
      <w:outlineLvl w:val="1"/>
    </w:pPr>
    <w:rPr>
      <w:rFonts w:eastAsiaTheme="majorEastAsia" w:cstheme="majorBidi"/>
      <w:szCs w:val="26"/>
      <w:lang w:val="sv-S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7570"/>
    <w:rPr>
      <w:rFonts w:eastAsiaTheme="majorEastAsia" w:cstheme="majorBidi"/>
      <w:szCs w:val="26"/>
      <w:lang w:val="sv-SE" w:eastAsia="en-US"/>
    </w:rPr>
  </w:style>
  <w:style w:type="character" w:styleId="CommentReference">
    <w:name w:val="annotation reference"/>
    <w:basedOn w:val="DefaultParagraphFont"/>
    <w:uiPriority w:val="99"/>
    <w:semiHidden/>
    <w:unhideWhenUsed/>
    <w:rsid w:val="00B128C7"/>
    <w:rPr>
      <w:sz w:val="16"/>
      <w:szCs w:val="16"/>
    </w:rPr>
  </w:style>
  <w:style w:type="paragraph" w:styleId="CommentText">
    <w:name w:val="annotation text"/>
    <w:basedOn w:val="Normal"/>
    <w:link w:val="CommentTextChar"/>
    <w:uiPriority w:val="99"/>
    <w:unhideWhenUsed/>
    <w:rsid w:val="00B128C7"/>
    <w:pPr>
      <w:spacing w:line="240" w:lineRule="auto"/>
    </w:pPr>
    <w:rPr>
      <w:sz w:val="20"/>
      <w:szCs w:val="20"/>
    </w:rPr>
  </w:style>
  <w:style w:type="character" w:customStyle="1" w:styleId="CommentTextChar">
    <w:name w:val="Comment Text Char"/>
    <w:basedOn w:val="DefaultParagraphFont"/>
    <w:link w:val="CommentText"/>
    <w:uiPriority w:val="99"/>
    <w:rsid w:val="00B128C7"/>
    <w:rPr>
      <w:sz w:val="20"/>
      <w:szCs w:val="20"/>
    </w:rPr>
  </w:style>
  <w:style w:type="character" w:customStyle="1" w:styleId="Heading1Char">
    <w:name w:val="Heading 1 Char"/>
    <w:basedOn w:val="DefaultParagraphFont"/>
    <w:link w:val="Heading1"/>
    <w:uiPriority w:val="9"/>
    <w:rsid w:val="00C9478E"/>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215419"/>
    <w:rPr>
      <w:b/>
      <w:bCs/>
    </w:rPr>
  </w:style>
  <w:style w:type="character" w:customStyle="1" w:styleId="CommentSubjectChar">
    <w:name w:val="Comment Subject Char"/>
    <w:basedOn w:val="CommentTextChar"/>
    <w:link w:val="CommentSubject"/>
    <w:uiPriority w:val="99"/>
    <w:semiHidden/>
    <w:rsid w:val="00215419"/>
    <w:rPr>
      <w:b/>
      <w:bCs/>
      <w:sz w:val="20"/>
      <w:szCs w:val="20"/>
    </w:rPr>
  </w:style>
  <w:style w:type="paragraph" w:styleId="NormalWeb">
    <w:name w:val="Normal (Web)"/>
    <w:basedOn w:val="Normal"/>
    <w:uiPriority w:val="99"/>
    <w:unhideWhenUsed/>
    <w:rsid w:val="003D2C5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6E0066"/>
    <w:pPr>
      <w:spacing w:after="0" w:line="240" w:lineRule="auto"/>
    </w:pPr>
  </w:style>
  <w:style w:type="paragraph" w:styleId="Bibliography">
    <w:name w:val="Bibliography"/>
    <w:basedOn w:val="Normal"/>
    <w:next w:val="Normal"/>
    <w:uiPriority w:val="37"/>
    <w:unhideWhenUsed/>
    <w:rsid w:val="009D6087"/>
    <w:pPr>
      <w:tabs>
        <w:tab w:val="left" w:pos="384"/>
      </w:tabs>
      <w:spacing w:after="0" w:line="480" w:lineRule="auto"/>
      <w:ind w:left="384" w:hanging="384"/>
    </w:pPr>
  </w:style>
  <w:style w:type="paragraph" w:styleId="Header">
    <w:name w:val="header"/>
    <w:basedOn w:val="Normal"/>
    <w:link w:val="HeaderChar"/>
    <w:uiPriority w:val="99"/>
    <w:unhideWhenUsed/>
    <w:rsid w:val="008357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749"/>
  </w:style>
  <w:style w:type="paragraph" w:styleId="Footer">
    <w:name w:val="footer"/>
    <w:basedOn w:val="Normal"/>
    <w:link w:val="FooterChar"/>
    <w:uiPriority w:val="99"/>
    <w:unhideWhenUsed/>
    <w:rsid w:val="008357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749"/>
  </w:style>
  <w:style w:type="table" w:styleId="TableGrid">
    <w:name w:val="Table Grid"/>
    <w:basedOn w:val="TableNormal"/>
    <w:uiPriority w:val="39"/>
    <w:rsid w:val="00B63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49101">
      <w:bodyDiv w:val="1"/>
      <w:marLeft w:val="0"/>
      <w:marRight w:val="0"/>
      <w:marTop w:val="0"/>
      <w:marBottom w:val="0"/>
      <w:divBdr>
        <w:top w:val="none" w:sz="0" w:space="0" w:color="auto"/>
        <w:left w:val="none" w:sz="0" w:space="0" w:color="auto"/>
        <w:bottom w:val="none" w:sz="0" w:space="0" w:color="auto"/>
        <w:right w:val="none" w:sz="0" w:space="0" w:color="auto"/>
      </w:divBdr>
    </w:div>
    <w:div w:id="70125268">
      <w:bodyDiv w:val="1"/>
      <w:marLeft w:val="0"/>
      <w:marRight w:val="0"/>
      <w:marTop w:val="0"/>
      <w:marBottom w:val="0"/>
      <w:divBdr>
        <w:top w:val="none" w:sz="0" w:space="0" w:color="auto"/>
        <w:left w:val="none" w:sz="0" w:space="0" w:color="auto"/>
        <w:bottom w:val="none" w:sz="0" w:space="0" w:color="auto"/>
        <w:right w:val="none" w:sz="0" w:space="0" w:color="auto"/>
      </w:divBdr>
    </w:div>
    <w:div w:id="82453340">
      <w:bodyDiv w:val="1"/>
      <w:marLeft w:val="0"/>
      <w:marRight w:val="0"/>
      <w:marTop w:val="0"/>
      <w:marBottom w:val="0"/>
      <w:divBdr>
        <w:top w:val="none" w:sz="0" w:space="0" w:color="auto"/>
        <w:left w:val="none" w:sz="0" w:space="0" w:color="auto"/>
        <w:bottom w:val="none" w:sz="0" w:space="0" w:color="auto"/>
        <w:right w:val="none" w:sz="0" w:space="0" w:color="auto"/>
      </w:divBdr>
    </w:div>
    <w:div w:id="150102978">
      <w:bodyDiv w:val="1"/>
      <w:marLeft w:val="0"/>
      <w:marRight w:val="0"/>
      <w:marTop w:val="0"/>
      <w:marBottom w:val="0"/>
      <w:divBdr>
        <w:top w:val="none" w:sz="0" w:space="0" w:color="auto"/>
        <w:left w:val="none" w:sz="0" w:space="0" w:color="auto"/>
        <w:bottom w:val="none" w:sz="0" w:space="0" w:color="auto"/>
        <w:right w:val="none" w:sz="0" w:space="0" w:color="auto"/>
      </w:divBdr>
    </w:div>
    <w:div w:id="221715589">
      <w:bodyDiv w:val="1"/>
      <w:marLeft w:val="0"/>
      <w:marRight w:val="0"/>
      <w:marTop w:val="0"/>
      <w:marBottom w:val="0"/>
      <w:divBdr>
        <w:top w:val="none" w:sz="0" w:space="0" w:color="auto"/>
        <w:left w:val="none" w:sz="0" w:space="0" w:color="auto"/>
        <w:bottom w:val="none" w:sz="0" w:space="0" w:color="auto"/>
        <w:right w:val="none" w:sz="0" w:space="0" w:color="auto"/>
      </w:divBdr>
    </w:div>
    <w:div w:id="429543620">
      <w:bodyDiv w:val="1"/>
      <w:marLeft w:val="0"/>
      <w:marRight w:val="0"/>
      <w:marTop w:val="0"/>
      <w:marBottom w:val="0"/>
      <w:divBdr>
        <w:top w:val="none" w:sz="0" w:space="0" w:color="auto"/>
        <w:left w:val="none" w:sz="0" w:space="0" w:color="auto"/>
        <w:bottom w:val="none" w:sz="0" w:space="0" w:color="auto"/>
        <w:right w:val="none" w:sz="0" w:space="0" w:color="auto"/>
      </w:divBdr>
    </w:div>
    <w:div w:id="468015001">
      <w:bodyDiv w:val="1"/>
      <w:marLeft w:val="0"/>
      <w:marRight w:val="0"/>
      <w:marTop w:val="0"/>
      <w:marBottom w:val="0"/>
      <w:divBdr>
        <w:top w:val="none" w:sz="0" w:space="0" w:color="auto"/>
        <w:left w:val="none" w:sz="0" w:space="0" w:color="auto"/>
        <w:bottom w:val="none" w:sz="0" w:space="0" w:color="auto"/>
        <w:right w:val="none" w:sz="0" w:space="0" w:color="auto"/>
      </w:divBdr>
    </w:div>
    <w:div w:id="804202378">
      <w:bodyDiv w:val="1"/>
      <w:marLeft w:val="0"/>
      <w:marRight w:val="0"/>
      <w:marTop w:val="0"/>
      <w:marBottom w:val="0"/>
      <w:divBdr>
        <w:top w:val="none" w:sz="0" w:space="0" w:color="auto"/>
        <w:left w:val="none" w:sz="0" w:space="0" w:color="auto"/>
        <w:bottom w:val="none" w:sz="0" w:space="0" w:color="auto"/>
        <w:right w:val="none" w:sz="0" w:space="0" w:color="auto"/>
      </w:divBdr>
    </w:div>
    <w:div w:id="927615261">
      <w:bodyDiv w:val="1"/>
      <w:marLeft w:val="0"/>
      <w:marRight w:val="0"/>
      <w:marTop w:val="0"/>
      <w:marBottom w:val="0"/>
      <w:divBdr>
        <w:top w:val="none" w:sz="0" w:space="0" w:color="auto"/>
        <w:left w:val="none" w:sz="0" w:space="0" w:color="auto"/>
        <w:bottom w:val="none" w:sz="0" w:space="0" w:color="auto"/>
        <w:right w:val="none" w:sz="0" w:space="0" w:color="auto"/>
      </w:divBdr>
    </w:div>
    <w:div w:id="1178426057">
      <w:bodyDiv w:val="1"/>
      <w:marLeft w:val="0"/>
      <w:marRight w:val="0"/>
      <w:marTop w:val="0"/>
      <w:marBottom w:val="0"/>
      <w:divBdr>
        <w:top w:val="none" w:sz="0" w:space="0" w:color="auto"/>
        <w:left w:val="none" w:sz="0" w:space="0" w:color="auto"/>
        <w:bottom w:val="none" w:sz="0" w:space="0" w:color="auto"/>
        <w:right w:val="none" w:sz="0" w:space="0" w:color="auto"/>
      </w:divBdr>
    </w:div>
    <w:div w:id="1236629633">
      <w:bodyDiv w:val="1"/>
      <w:marLeft w:val="0"/>
      <w:marRight w:val="0"/>
      <w:marTop w:val="0"/>
      <w:marBottom w:val="0"/>
      <w:divBdr>
        <w:top w:val="none" w:sz="0" w:space="0" w:color="auto"/>
        <w:left w:val="none" w:sz="0" w:space="0" w:color="auto"/>
        <w:bottom w:val="none" w:sz="0" w:space="0" w:color="auto"/>
        <w:right w:val="none" w:sz="0" w:space="0" w:color="auto"/>
      </w:divBdr>
    </w:div>
    <w:div w:id="1384711972">
      <w:bodyDiv w:val="1"/>
      <w:marLeft w:val="0"/>
      <w:marRight w:val="0"/>
      <w:marTop w:val="0"/>
      <w:marBottom w:val="0"/>
      <w:divBdr>
        <w:top w:val="none" w:sz="0" w:space="0" w:color="auto"/>
        <w:left w:val="none" w:sz="0" w:space="0" w:color="auto"/>
        <w:bottom w:val="none" w:sz="0" w:space="0" w:color="auto"/>
        <w:right w:val="none" w:sz="0" w:space="0" w:color="auto"/>
      </w:divBdr>
    </w:div>
    <w:div w:id="1412461196">
      <w:bodyDiv w:val="1"/>
      <w:marLeft w:val="0"/>
      <w:marRight w:val="0"/>
      <w:marTop w:val="0"/>
      <w:marBottom w:val="0"/>
      <w:divBdr>
        <w:top w:val="none" w:sz="0" w:space="0" w:color="auto"/>
        <w:left w:val="none" w:sz="0" w:space="0" w:color="auto"/>
        <w:bottom w:val="none" w:sz="0" w:space="0" w:color="auto"/>
        <w:right w:val="none" w:sz="0" w:space="0" w:color="auto"/>
      </w:divBdr>
    </w:div>
    <w:div w:id="1621181804">
      <w:bodyDiv w:val="1"/>
      <w:marLeft w:val="0"/>
      <w:marRight w:val="0"/>
      <w:marTop w:val="0"/>
      <w:marBottom w:val="0"/>
      <w:divBdr>
        <w:top w:val="none" w:sz="0" w:space="0" w:color="auto"/>
        <w:left w:val="none" w:sz="0" w:space="0" w:color="auto"/>
        <w:bottom w:val="none" w:sz="0" w:space="0" w:color="auto"/>
        <w:right w:val="none" w:sz="0" w:space="0" w:color="auto"/>
      </w:divBdr>
    </w:div>
    <w:div w:id="1687321410">
      <w:bodyDiv w:val="1"/>
      <w:marLeft w:val="0"/>
      <w:marRight w:val="0"/>
      <w:marTop w:val="0"/>
      <w:marBottom w:val="0"/>
      <w:divBdr>
        <w:top w:val="none" w:sz="0" w:space="0" w:color="auto"/>
        <w:left w:val="none" w:sz="0" w:space="0" w:color="auto"/>
        <w:bottom w:val="none" w:sz="0" w:space="0" w:color="auto"/>
        <w:right w:val="none" w:sz="0" w:space="0" w:color="auto"/>
      </w:divBdr>
    </w:div>
    <w:div w:id="1696273432">
      <w:bodyDiv w:val="1"/>
      <w:marLeft w:val="0"/>
      <w:marRight w:val="0"/>
      <w:marTop w:val="0"/>
      <w:marBottom w:val="0"/>
      <w:divBdr>
        <w:top w:val="none" w:sz="0" w:space="0" w:color="auto"/>
        <w:left w:val="none" w:sz="0" w:space="0" w:color="auto"/>
        <w:bottom w:val="none" w:sz="0" w:space="0" w:color="auto"/>
        <w:right w:val="none" w:sz="0" w:space="0" w:color="auto"/>
      </w:divBdr>
    </w:div>
    <w:div w:id="1752577432">
      <w:bodyDiv w:val="1"/>
      <w:marLeft w:val="0"/>
      <w:marRight w:val="0"/>
      <w:marTop w:val="0"/>
      <w:marBottom w:val="0"/>
      <w:divBdr>
        <w:top w:val="none" w:sz="0" w:space="0" w:color="auto"/>
        <w:left w:val="none" w:sz="0" w:space="0" w:color="auto"/>
        <w:bottom w:val="none" w:sz="0" w:space="0" w:color="auto"/>
        <w:right w:val="none" w:sz="0" w:space="0" w:color="auto"/>
      </w:divBdr>
    </w:div>
    <w:div w:id="1780178205">
      <w:bodyDiv w:val="1"/>
      <w:marLeft w:val="0"/>
      <w:marRight w:val="0"/>
      <w:marTop w:val="0"/>
      <w:marBottom w:val="0"/>
      <w:divBdr>
        <w:top w:val="none" w:sz="0" w:space="0" w:color="auto"/>
        <w:left w:val="none" w:sz="0" w:space="0" w:color="auto"/>
        <w:bottom w:val="none" w:sz="0" w:space="0" w:color="auto"/>
        <w:right w:val="none" w:sz="0" w:space="0" w:color="auto"/>
      </w:divBdr>
    </w:div>
    <w:div w:id="1808741223">
      <w:bodyDiv w:val="1"/>
      <w:marLeft w:val="0"/>
      <w:marRight w:val="0"/>
      <w:marTop w:val="0"/>
      <w:marBottom w:val="0"/>
      <w:divBdr>
        <w:top w:val="none" w:sz="0" w:space="0" w:color="auto"/>
        <w:left w:val="none" w:sz="0" w:space="0" w:color="auto"/>
        <w:bottom w:val="none" w:sz="0" w:space="0" w:color="auto"/>
        <w:right w:val="none" w:sz="0" w:space="0" w:color="auto"/>
      </w:divBdr>
    </w:div>
    <w:div w:id="1980377853">
      <w:bodyDiv w:val="1"/>
      <w:marLeft w:val="0"/>
      <w:marRight w:val="0"/>
      <w:marTop w:val="0"/>
      <w:marBottom w:val="0"/>
      <w:divBdr>
        <w:top w:val="none" w:sz="0" w:space="0" w:color="auto"/>
        <w:left w:val="none" w:sz="0" w:space="0" w:color="auto"/>
        <w:bottom w:val="none" w:sz="0" w:space="0" w:color="auto"/>
        <w:right w:val="none" w:sz="0" w:space="0" w:color="auto"/>
      </w:divBdr>
    </w:div>
    <w:div w:id="206124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ef6fd2-5125-4c23-b935-9d16404da0a5">
      <Terms xmlns="http://schemas.microsoft.com/office/infopath/2007/PartnerControls"/>
    </lcf76f155ced4ddcb4097134ff3c332f>
    <TaxCatchAll xmlns="8c3c43cf-186b-4613-84b4-a4ff23217b5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DAB46CB42E974B8B343136A9C5AD12" ma:contentTypeVersion="15" ma:contentTypeDescription="Create a new document." ma:contentTypeScope="" ma:versionID="aefe246bf03e9288410dd955993d051b">
  <xsd:schema xmlns:xsd="http://www.w3.org/2001/XMLSchema" xmlns:xs="http://www.w3.org/2001/XMLSchema" xmlns:p="http://schemas.microsoft.com/office/2006/metadata/properties" xmlns:ns2="34ef6fd2-5125-4c23-b935-9d16404da0a5" xmlns:ns3="8c3c43cf-186b-4613-84b4-a4ff23217b56" targetNamespace="http://schemas.microsoft.com/office/2006/metadata/properties" ma:root="true" ma:fieldsID="7c8a55136015e83577a7f385805153b2" ns2:_="" ns3:_="">
    <xsd:import namespace="34ef6fd2-5125-4c23-b935-9d16404da0a5"/>
    <xsd:import namespace="8c3c43cf-186b-4613-84b4-a4ff23217b5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f6fd2-5125-4c23-b935-9d16404da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cbd03e-66a2-4c18-a228-0d90db84838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3c43cf-186b-4613-84b4-a4ff23217b5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212e874-be26-499a-b36a-3e9c3c72934e}" ma:internalName="TaxCatchAll" ma:showField="CatchAllData" ma:web="8c3c43cf-186b-4613-84b4-a4ff23217b5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85ED80-7CB3-495F-9775-009C37D69023}">
  <ds:schemaRefs>
    <ds:schemaRef ds:uri="http://schemas.microsoft.com/office/2006/metadata/properties"/>
    <ds:schemaRef ds:uri="http://schemas.microsoft.com/office/infopath/2007/PartnerControls"/>
    <ds:schemaRef ds:uri="34ef6fd2-5125-4c23-b935-9d16404da0a5"/>
    <ds:schemaRef ds:uri="8c3c43cf-186b-4613-84b4-a4ff23217b56"/>
  </ds:schemaRefs>
</ds:datastoreItem>
</file>

<file path=customXml/itemProps2.xml><?xml version="1.0" encoding="utf-8"?>
<ds:datastoreItem xmlns:ds="http://schemas.openxmlformats.org/officeDocument/2006/customXml" ds:itemID="{CB92B6A0-41FF-4B4A-B610-900C863AADE5}">
  <ds:schemaRefs>
    <ds:schemaRef ds:uri="http://schemas.openxmlformats.org/officeDocument/2006/bibliography"/>
  </ds:schemaRefs>
</ds:datastoreItem>
</file>

<file path=customXml/itemProps3.xml><?xml version="1.0" encoding="utf-8"?>
<ds:datastoreItem xmlns:ds="http://schemas.openxmlformats.org/officeDocument/2006/customXml" ds:itemID="{D69A953D-9D0E-4442-9E3B-480CF62F82B5}">
  <ds:schemaRefs>
    <ds:schemaRef ds:uri="http://schemas.microsoft.com/sharepoint/v3/contenttype/forms"/>
  </ds:schemaRefs>
</ds:datastoreItem>
</file>

<file path=customXml/itemProps4.xml><?xml version="1.0" encoding="utf-8"?>
<ds:datastoreItem xmlns:ds="http://schemas.openxmlformats.org/officeDocument/2006/customXml" ds:itemID="{D81DB47F-11F1-4C48-912B-7402FD304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ef6fd2-5125-4c23-b935-9d16404da0a5"/>
    <ds:schemaRef ds:uri="8c3c43cf-186b-4613-84b4-a4ff23217b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11</Pages>
  <Words>2748</Words>
  <Characters>14845</Characters>
  <Application>Microsoft Office Word</Application>
  <DocSecurity>0</DocSecurity>
  <Lines>905</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 Ren</dc:creator>
  <cp:keywords/>
  <dc:description/>
  <cp:lastModifiedBy>Christian Robinson</cp:lastModifiedBy>
  <cp:revision>53</cp:revision>
  <dcterms:created xsi:type="dcterms:W3CDTF">2024-08-29T13:24:00Z</dcterms:created>
  <dcterms:modified xsi:type="dcterms:W3CDTF">2025-12-02T10:17:00Z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zotero-version="7.0.10"&gt;&lt;session id="PUKE60tD"/&gt;&lt;style id="http://www.zotero.org/styles/nature" hasBibliography="1" bibliographyStyleHasBeenSet="1"/&gt;&lt;prefs&gt;&lt;pref name="fieldType" value="Field"/&gt;&lt;/prefs&gt;&lt;/data&gt;</vt:lpwstr>
  </property>
  <property fmtid="{D5CDD505-2E9C-101B-9397-08002B2CF9AE}" pid="3" name="ContentTypeId">
    <vt:lpwstr>0x010100FBDAB46CB42E974B8B343136A9C5AD12</vt:lpwstr>
  </property>
</Properties>
</file>