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16EEC35" w14:textId="1B8E76BD" w:rsidR="004D7988" w:rsidRDefault="004D7988" w:rsidP="004D7988">
      <w:pPr>
        <w:jc w:val="both"/>
        <w:rPr>
          <w:rFonts w:ascii="Times New Roman" w:hAnsi="Times New Roman" w:cs="Times New Roman"/>
          <w:sz w:val="28"/>
          <w:szCs w:val="28"/>
        </w:rPr>
      </w:pPr>
      <w:r>
        <w:rPr>
          <w:rFonts w:ascii="Times New Roman" w:hAnsi="Times New Roman" w:cs="Times New Roman"/>
          <w:sz w:val="28"/>
          <w:szCs w:val="28"/>
        </w:rPr>
        <w:t>Supplementary materials to “</w:t>
      </w:r>
      <w:r w:rsidRPr="004D7988">
        <w:rPr>
          <w:rFonts w:ascii="Times New Roman" w:hAnsi="Times New Roman" w:cs="Times New Roman"/>
          <w:sz w:val="28"/>
          <w:szCs w:val="28"/>
        </w:rPr>
        <w:t>Evaluating amyloid-beta as a surrogate endpoint in trials of anti-amyloid-beta drugs in Alzheimer’s disease: a Bayesian meta-analysis</w:t>
      </w:r>
      <w:r>
        <w:rPr>
          <w:rFonts w:ascii="Times New Roman" w:hAnsi="Times New Roman" w:cs="Times New Roman"/>
          <w:sz w:val="28"/>
          <w:szCs w:val="28"/>
        </w:rPr>
        <w:t>”</w:t>
      </w:r>
    </w:p>
    <w:p w14:paraId="7CA407D7" w14:textId="2F2E61E9" w:rsidR="00715DE1" w:rsidRPr="005C429C" w:rsidRDefault="00715DE1" w:rsidP="00DB55E9">
      <w:pPr>
        <w:jc w:val="both"/>
        <w:rPr>
          <w:rFonts w:ascii="Times New Roman" w:hAnsi="Times New Roman" w:cs="Times New Roman"/>
          <w:sz w:val="28"/>
          <w:szCs w:val="28"/>
        </w:rPr>
      </w:pPr>
      <w:r w:rsidRPr="005C429C">
        <w:rPr>
          <w:rFonts w:ascii="Times New Roman" w:hAnsi="Times New Roman" w:cs="Times New Roman"/>
          <w:sz w:val="28"/>
          <w:szCs w:val="28"/>
        </w:rPr>
        <w:t>Appendix A. Conversion of data on Aβ PET between Centiloid and SUVR scales</w:t>
      </w:r>
    </w:p>
    <w:p w14:paraId="5D15BEB0" w14:textId="1C79DF5B" w:rsidR="00715DE1" w:rsidRPr="005C429C" w:rsidRDefault="00715DE1" w:rsidP="00DB55E9">
      <w:pPr>
        <w:jc w:val="both"/>
        <w:rPr>
          <w:rFonts w:ascii="Times New Roman" w:hAnsi="Times New Roman" w:cs="Times New Roman"/>
        </w:rPr>
      </w:pPr>
      <w:r w:rsidRPr="005C429C">
        <w:rPr>
          <w:rFonts w:ascii="Times New Roman" w:hAnsi="Times New Roman" w:cs="Times New Roman"/>
        </w:rPr>
        <w:t>In trials assessing anti-Amyloid-</w:t>
      </w:r>
      <w:r w:rsidR="005F6B8A" w:rsidRPr="005C429C">
        <w:rPr>
          <w:rFonts w:ascii="Times New Roman" w:hAnsi="Times New Roman" w:cs="Times New Roman"/>
        </w:rPr>
        <w:t>beta</w:t>
      </w:r>
      <w:r w:rsidRPr="005C429C">
        <w:rPr>
          <w:rFonts w:ascii="Times New Roman" w:hAnsi="Times New Roman" w:cs="Times New Roman"/>
        </w:rPr>
        <w:t xml:space="preserve"> (Aβ) drugs, the treatment effect is commonly assessed in terms of the reduction in Aβ </w:t>
      </w:r>
      <w:r w:rsidR="005F6B8A" w:rsidRPr="005C429C">
        <w:rPr>
          <w:rFonts w:ascii="Times New Roman" w:hAnsi="Times New Roman" w:cs="Times New Roman"/>
        </w:rPr>
        <w:t>volume</w:t>
      </w:r>
      <w:r w:rsidRPr="005C429C">
        <w:rPr>
          <w:rFonts w:ascii="Times New Roman" w:hAnsi="Times New Roman" w:cs="Times New Roman"/>
        </w:rPr>
        <w:t xml:space="preserve"> within the brain measured via positron emission tomography (PET) imaging. The PET images are inspected to quantify the Aβ volume as a standardized uptake value ratio (SUVR). PET imaging involves the injection of a radioactive tracer which may differ from trial to trial, hindering the comparison of SUVR values across trials. To facilitate cross-trial comparisons, methods have been proposed to convert SUVR values to a standard Centiloid scale </w:t>
      </w:r>
      <w:r w:rsidR="008A4505" w:rsidRPr="005C429C">
        <w:rPr>
          <w:rFonts w:ascii="Times New Roman" w:hAnsi="Times New Roman" w:cs="Times New Roman"/>
        </w:rPr>
        <w:fldChar w:fldCharType="begin"/>
      </w:r>
      <w:r w:rsidR="008A4505" w:rsidRPr="005C429C">
        <w:rPr>
          <w:rFonts w:ascii="Times New Roman" w:hAnsi="Times New Roman" w:cs="Times New Roman"/>
        </w:rPr>
        <w:instrText xml:space="preserve"> ADDIN ZOTERO_ITEM CSL_CITATION {"citationID":"YcV2nHci","properties":{"formattedCitation":"\\super 1\\nosupersub{}","plainCitation":"1","noteIndex":0},"citationItems":[{"id":94,"uris":["http://zotero.org/users/15061285/items/H7WRSVKS"],"itemData":{"id":94,"type":"article-journal","abstract":"Although amyloid imaging with PiB-PET ([C-11]Pittsburgh Compound-B positron emission tomography), and now with F-18-labeled tracers, has produced remarkably consistent qualitative findings across a large number of centers, there has been considerable variability in the exact numbers reported as quantitative outcome measures of tracer retention. In some cases this is as trivial as the choice of units, in some cases it is scanner dependent, and of course, different tracers yield different numbers. Our working group was formed to standardize quantitative amyloid imaging measures by scaling the outcome of each particular analysis method or tracer to a 0 to 100 scale, anchored by young controls (≤45 years) and typical Alzheimer's disease patients. The units of this scale have been named “Centiloids.” Basically, we describe a “standard” method of analyzing PiB PET data and then a method for scaling any “nonstandard” method of PiB PET analysis (or any other tracer) to the Centiloid scale.","container-title":"Alzheimer's &amp; Dementia","DOI":"10.1016/j.jalz.2014.07.003","ISSN":"1552-5260","issue":"1","journalAbbreviation":"Alzheimer's &amp; Dementia","page":"1-15.e4","source":"ScienceDirect","title":"The Centiloid Project: Standardizing quantitative amyloid plaque estimation by PET","title-short":"The Centiloid Project","volume":"11","author":[{"family":"Klunk","given":"William E."},{"family":"Koeppe","given":"Robert A."},{"family":"Price","given":"Julie C."},{"family":"Benzinger","given":"Tammie L."},{"family":"Devous","given":"Michael D."},{"family":"Jagust","given":"William J."},{"family":"Johnson","given":"Keith A."},{"family":"Mathis","given":"Chester A."},{"family":"Minhas","given":"Davneet"},{"family":"Pontecorvo","given":"Michael J."},{"family":"Rowe","given":"Christopher C."},{"family":"Skovronsky","given":"Daniel M."},{"family":"Mintun","given":"Mark A."}],"issued":{"date-parts":[["2015",1,1]]}}}],"schema":"https://github.com/citation-style-language/schema/raw/master/csl-citation.json"} </w:instrText>
      </w:r>
      <w:r w:rsidR="008A4505" w:rsidRPr="005C429C">
        <w:rPr>
          <w:rFonts w:ascii="Times New Roman" w:hAnsi="Times New Roman" w:cs="Times New Roman"/>
        </w:rPr>
        <w:fldChar w:fldCharType="separate"/>
      </w:r>
      <w:r w:rsidR="008A4505" w:rsidRPr="005C429C">
        <w:rPr>
          <w:rFonts w:ascii="Times New Roman" w:hAnsi="Times New Roman" w:cs="Times New Roman"/>
          <w:kern w:val="0"/>
          <w:szCs w:val="24"/>
          <w:vertAlign w:val="superscript"/>
        </w:rPr>
        <w:t>1</w:t>
      </w:r>
      <w:r w:rsidR="008A4505" w:rsidRPr="005C429C">
        <w:rPr>
          <w:rFonts w:ascii="Times New Roman" w:hAnsi="Times New Roman" w:cs="Times New Roman"/>
        </w:rPr>
        <w:fldChar w:fldCharType="end"/>
      </w:r>
      <w:r w:rsidRPr="005C429C">
        <w:rPr>
          <w:rFonts w:ascii="Times New Roman" w:hAnsi="Times New Roman" w:cs="Times New Roman"/>
        </w:rPr>
        <w:t xml:space="preserve">. </w:t>
      </w:r>
    </w:p>
    <w:p w14:paraId="319A170F" w14:textId="067F2074" w:rsidR="00715DE1" w:rsidRPr="005C429C" w:rsidRDefault="00715DE1" w:rsidP="00DB55E9">
      <w:pPr>
        <w:jc w:val="both"/>
        <w:rPr>
          <w:rFonts w:ascii="Times New Roman" w:hAnsi="Times New Roman" w:cs="Times New Roman"/>
        </w:rPr>
      </w:pPr>
      <w:r w:rsidRPr="005C429C">
        <w:rPr>
          <w:rFonts w:ascii="Times New Roman" w:hAnsi="Times New Roman" w:cs="Times New Roman"/>
        </w:rPr>
        <w:t xml:space="preserve">In our evidence base, the majority of trials reported data on the SUVR scale, but there were a few trials which reported data on the Centiloid scale only. To make the most efficient use of this evidence, we converted these data from the Centiloid scale to the SUVR scale. A number of studies have implemented the conversion from the SUVR scale to the Centiloid scale based on the tracer used for </w:t>
      </w:r>
      <w:bookmarkStart w:id="0" w:name="_Hlk210304666"/>
      <w:r w:rsidRPr="005C429C">
        <w:rPr>
          <w:rFonts w:ascii="Times New Roman" w:hAnsi="Times New Roman" w:cs="Times New Roman"/>
        </w:rPr>
        <w:t>Aβ PET imaging</w:t>
      </w:r>
      <w:bookmarkEnd w:id="0"/>
      <w:r w:rsidRPr="005C429C">
        <w:rPr>
          <w:rFonts w:ascii="Times New Roman" w:hAnsi="Times New Roman" w:cs="Times New Roman"/>
        </w:rPr>
        <w:t xml:space="preserve">; florbetapir </w:t>
      </w:r>
      <w:r w:rsidR="008A4505" w:rsidRPr="005C429C">
        <w:rPr>
          <w:rFonts w:ascii="Times New Roman" w:hAnsi="Times New Roman" w:cs="Times New Roman"/>
        </w:rPr>
        <w:fldChar w:fldCharType="begin"/>
      </w:r>
      <w:r w:rsidR="008A4505" w:rsidRPr="005C429C">
        <w:rPr>
          <w:rFonts w:ascii="Times New Roman" w:hAnsi="Times New Roman" w:cs="Times New Roman"/>
        </w:rPr>
        <w:instrText xml:space="preserve"> ADDIN ZOTERO_ITEM CSL_CITATION {"citationID":"9NDGefvx","properties":{"formattedCitation":"\\super 2\\nosupersub{}","plainCitation":"2","noteIndex":0},"citationItems":[{"id":87,"uris":["http://zotero.org/users/15061285/items/BBPJ3CEM"],"itemData":{"id":87,"type":"article-journal","abstract":"Introduction Klunk et al. recently proposed a means of standardizing quantitation of amyloid burden from positron emission tomography scans to a common Centiloid scale, and we have applied that method to florbetapir. Methods Florbetapir and Pittsburgh compound B scans were acquired for 46 mixed clinical presentation subjects within 18 ± 20 days. Florbetapir and Pittsburgh compound B cortical standardized uptake value ratio (SUVr) values were well correlated for both standard Centiloid (R2 = 0.894) and Avid (R2 = 0.901) volume of interests (VOIs). The methods of Klunk et al. were applied to establish a conversion first from florbetapir SUVr values obtained using standard Centiloid VOIs to Centiloids and then from Avid VOIs (Joshi et al.) to Centiloids. Results The equation for conversion of florbetapir SUVr from Avid VOIs to the Centiloid scale was as follows: Florbetapir Centiloids = 183 × SUVrAvid − 177. The threshold that discriminated neuropathologically verified none or sparse versus moderate to frequent plaques in autopsy-confirmed data is 24.1 Centiloids. Discussion These findings may allow improved tracer-independent amyloid quantitation.","container-title":"Alzheimer's &amp; Dementia","DOI":"10.1016/j.jalz.2018.06.1353","ISSN":"1552-5279","issue":"12","language":"en","license":"© 2018 The Alzheimer's Association","note":"_eprint: https://onlinelibrary.wiley.com/doi/pdf/10.1016/j.jalz.2018.06.1353","page":"1565-1571","source":"Wiley Online Library","title":"Standardization of amyloid quantitation with florbetapir standardized uptake value ratios to the Centiloid scale","volume":"14","author":[{"family":"Navitsky","given":"Michael"},{"family":"Joshi","given":"Abhinay D."},{"family":"Kennedy","given":"Ian"},{"family":"Klunk","given":"William E."},{"family":"Rowe","given":"Christopher C."},{"family":"Wong","given":"Dean F."},{"family":"Pontecorvo","given":"Michael J."},{"family":"Mintun","given":"Mark A."},{"family":"Devous Sr.","given":"Michael D."}],"issued":{"date-parts":[["2018"]]}}}],"schema":"https://github.com/citation-style-language/schema/raw/master/csl-citation.json"} </w:instrText>
      </w:r>
      <w:r w:rsidR="008A4505" w:rsidRPr="005C429C">
        <w:rPr>
          <w:rFonts w:ascii="Times New Roman" w:hAnsi="Times New Roman" w:cs="Times New Roman"/>
        </w:rPr>
        <w:fldChar w:fldCharType="separate"/>
      </w:r>
      <w:r w:rsidR="008A4505" w:rsidRPr="005C429C">
        <w:rPr>
          <w:rFonts w:ascii="Times New Roman" w:hAnsi="Times New Roman" w:cs="Times New Roman"/>
          <w:kern w:val="0"/>
          <w:szCs w:val="24"/>
          <w:vertAlign w:val="superscript"/>
        </w:rPr>
        <w:t>2</w:t>
      </w:r>
      <w:r w:rsidR="008A4505" w:rsidRPr="005C429C">
        <w:rPr>
          <w:rFonts w:ascii="Times New Roman" w:hAnsi="Times New Roman" w:cs="Times New Roman"/>
        </w:rPr>
        <w:fldChar w:fldCharType="end"/>
      </w:r>
      <w:r w:rsidRPr="005C429C">
        <w:rPr>
          <w:rFonts w:ascii="Times New Roman" w:hAnsi="Times New Roman" w:cs="Times New Roman"/>
        </w:rPr>
        <w:t>, florbetaben</w:t>
      </w:r>
      <w:r w:rsidR="008A4505" w:rsidRPr="005C429C">
        <w:rPr>
          <w:rFonts w:ascii="Times New Roman" w:hAnsi="Times New Roman" w:cs="Times New Roman"/>
        </w:rPr>
        <w:fldChar w:fldCharType="begin"/>
      </w:r>
      <w:r w:rsidR="008A4505" w:rsidRPr="005C429C">
        <w:rPr>
          <w:rFonts w:ascii="Times New Roman" w:hAnsi="Times New Roman" w:cs="Times New Roman"/>
        </w:rPr>
        <w:instrText xml:space="preserve"> ADDIN ZOTERO_ITEM CSL_CITATION {"citationID":"AbAydUux","properties":{"formattedCitation":"\\super 3\\nosupersub{}","plainCitation":"3","noteIndex":0},"citationItems":[{"id":92,"uris":["http://zotero.org/users/15061285/items/7863MIQN"],"itemData":{"id":92,"type":"article-journal","abstract":"The Centiloid (CL) method enables quantitative values from Aβ-amyloid (Aβ) imaging to be expressed in a universal unit providing pathological, diagnostic and prognostic thresholds in clinical practice and research and allowing integration of multiple tracers and methods. The method was developed for 11C-PiB scans with zero CL set as the average in young normal subjects and 100 CL the average in subjects with mild Alzheimer’s disease (AD). The method allows derivation of equations to convert the uptake value of any tracer into the same standard CL units but first requires head-to-head comparison with 11C-PiB results. We derived the equation to express 18F-florbetaben (FBB) binding in CL units.","container-title":"European Journal of Nuclear Medicine and Molecular Imaging","DOI":"10.1007/s00259-017-3749-6","ISSN":"1619-7089","issue":"12","journalAbbreviation":"Eur J Nucl Med Mol Imaging","language":"en","page":"2053-2059","source":"Springer Link","title":"18F-Florbetaben PET beta-amyloid binding expressed in Centiloids","volume":"44","author":[{"family":"Rowe","given":"Christopher C."},{"family":"Doré","given":"Vincent"},{"family":"Jones","given":"Gareth"},{"family":"Baxendale","given":"David"},{"family":"Mulligan","given":"Rachel S."},{"family":"Bullich","given":"Santiago"},{"family":"Stephens","given":"Andrew W."},{"family":"De Santi","given":"Susan"},{"family":"Masters","given":"Colin L."},{"family":"Dinkelborg","given":"Ludger"},{"family":"Villemagne","given":"Victor L."}],"issued":{"date-parts":[["2017",11,1]]}}}],"schema":"https://github.com/citation-style-language/schema/raw/master/csl-citation.json"} </w:instrText>
      </w:r>
      <w:r w:rsidR="008A4505" w:rsidRPr="005C429C">
        <w:rPr>
          <w:rFonts w:ascii="Times New Roman" w:hAnsi="Times New Roman" w:cs="Times New Roman"/>
        </w:rPr>
        <w:fldChar w:fldCharType="separate"/>
      </w:r>
      <w:r w:rsidR="008A4505" w:rsidRPr="005C429C">
        <w:rPr>
          <w:rFonts w:ascii="Times New Roman" w:hAnsi="Times New Roman" w:cs="Times New Roman"/>
          <w:kern w:val="0"/>
          <w:szCs w:val="24"/>
          <w:vertAlign w:val="superscript"/>
        </w:rPr>
        <w:t>3</w:t>
      </w:r>
      <w:r w:rsidR="008A4505" w:rsidRPr="005C429C">
        <w:rPr>
          <w:rFonts w:ascii="Times New Roman" w:hAnsi="Times New Roman" w:cs="Times New Roman"/>
        </w:rPr>
        <w:fldChar w:fldCharType="end"/>
      </w:r>
      <w:r w:rsidRPr="005C429C">
        <w:rPr>
          <w:rFonts w:ascii="Times New Roman" w:hAnsi="Times New Roman" w:cs="Times New Roman"/>
        </w:rPr>
        <w:t xml:space="preserve">, flutemetamol </w:t>
      </w:r>
      <w:r w:rsidR="008A4505" w:rsidRPr="005C429C">
        <w:rPr>
          <w:rFonts w:ascii="Times New Roman" w:hAnsi="Times New Roman" w:cs="Times New Roman"/>
        </w:rPr>
        <w:fldChar w:fldCharType="begin"/>
      </w:r>
      <w:r w:rsidR="008A4505" w:rsidRPr="005C429C">
        <w:rPr>
          <w:rFonts w:ascii="Times New Roman" w:hAnsi="Times New Roman" w:cs="Times New Roman"/>
        </w:rPr>
        <w:instrText xml:space="preserve"> ADDIN ZOTERO_ITEM CSL_CITATION {"citationID":"4oEgxoiU","properties":{"formattedCitation":"\\super 4\\nosupersub{}","plainCitation":"4","noteIndex":0},"citationItems":[{"id":90,"uris":["http://zotero.org/users/15061285/items/V868CS79"],"itemData":{"id":90,"type":"article-journal","abstract":"To evaluate cerebral amyloid-β(Aβ) pathology in older adults with cognitive complaints, visual assessment of PET images is approved as the routine method for image interpretation. In research studies however, Aβ-PET semi-quantitative measures are associated with greater risk of progression to dementia; but until recently, these measures lacked standardization. Therefore, the Centiloid scale, providing standardized Aβ-PET semi-quantitation, was recently validated. We aimed to determine the predictive values of visual assessments and Centiloids in non-demented patients, using long-term progression to dementia as our standard of truth.","container-title":"European Journal of Nuclear Medicine and Molecular Imaging","DOI":"10.1007/s00259-020-04942-4","ISSN":"1619-7089","issue":"1","journalAbbreviation":"Eur J Nucl Med Mol Imaging","language":"en","page":"302-310","source":"Springer Link","title":"Defining a Centiloid scale threshold predicting long-term progression to dementia in patients attending the memory clinic: an [18F] flutemetamol amyloid PET study","title-short":"Defining a Centiloid scale threshold predicting long-term progression to dementia in patients attending the memory clinic","volume":"48","author":[{"family":"Hanseeuw","given":"Bernard J."},{"family":"Malotaux","given":"Vincent"},{"family":"Dricot","given":"Laurence"},{"family":"Quenon","given":"Lisa"},{"family":"Sznajer","given":"Yves"},{"family":"Cerman","given":"Jiri"},{"family":"Woodard","given":"John L."},{"family":"Buckley","given":"Christopher"},{"family":"Farrar","given":"Gill"},{"family":"Ivanoiu","given":"Adrian"},{"family":"Lhommel","given":"Renaud"}],"issued":{"date-parts":[["2021",1,1]]}}}],"schema":"https://github.com/citation-style-language/schema/raw/master/csl-citation.json"} </w:instrText>
      </w:r>
      <w:r w:rsidR="008A4505" w:rsidRPr="005C429C">
        <w:rPr>
          <w:rFonts w:ascii="Times New Roman" w:hAnsi="Times New Roman" w:cs="Times New Roman"/>
        </w:rPr>
        <w:fldChar w:fldCharType="separate"/>
      </w:r>
      <w:r w:rsidR="008A4505" w:rsidRPr="005C429C">
        <w:rPr>
          <w:rFonts w:ascii="Times New Roman" w:hAnsi="Times New Roman" w:cs="Times New Roman"/>
          <w:kern w:val="0"/>
          <w:szCs w:val="24"/>
          <w:vertAlign w:val="superscript"/>
        </w:rPr>
        <w:t>4</w:t>
      </w:r>
      <w:r w:rsidR="008A4505" w:rsidRPr="005C429C">
        <w:rPr>
          <w:rFonts w:ascii="Times New Roman" w:hAnsi="Times New Roman" w:cs="Times New Roman"/>
        </w:rPr>
        <w:fldChar w:fldCharType="end"/>
      </w:r>
      <w:r w:rsidRPr="005C429C">
        <w:rPr>
          <w:rFonts w:ascii="Times New Roman" w:hAnsi="Times New Roman" w:cs="Times New Roman"/>
        </w:rPr>
        <w:t>. We applied the regression equations reported in these studies to make the conversion of data from the Centiloid scale to the SUVR scale, according to the tracer used in each trial. Specifically, we used the following equations:</w:t>
      </w:r>
    </w:p>
    <w:p w14:paraId="7F736BAB" w14:textId="77777777" w:rsidR="00715DE1" w:rsidRPr="005C429C" w:rsidRDefault="00715DE1" w:rsidP="00DB55E9">
      <w:pPr>
        <w:jc w:val="both"/>
        <w:rPr>
          <w:rFonts w:ascii="Times New Roman" w:hAnsi="Times New Roman" w:cs="Times New Roman"/>
        </w:rPr>
      </w:pPr>
      <w:r w:rsidRPr="005C429C">
        <w:rPr>
          <w:rFonts w:ascii="Times New Roman" w:hAnsi="Times New Roman" w:cs="Times New Roman"/>
        </w:rPr>
        <w:t xml:space="preserve">- Florbetapir: </w:t>
      </w:r>
      <w:r w:rsidRPr="005C429C">
        <w:rPr>
          <w:rFonts w:ascii="Times New Roman" w:hAnsi="Times New Roman" w:cs="Times New Roman"/>
        </w:rPr>
        <w:tab/>
      </w:r>
      <w:r w:rsidRPr="005C429C">
        <w:rPr>
          <w:rFonts w:ascii="Times New Roman" w:hAnsi="Times New Roman" w:cs="Times New Roman"/>
        </w:rPr>
        <w:tab/>
        <w:t>Centiloid = 183 x SUVR – 177</w:t>
      </w:r>
    </w:p>
    <w:p w14:paraId="09F67B6E" w14:textId="77777777" w:rsidR="00715DE1" w:rsidRPr="005C429C" w:rsidRDefault="00715DE1" w:rsidP="00DB55E9">
      <w:pPr>
        <w:jc w:val="both"/>
        <w:rPr>
          <w:rFonts w:ascii="Times New Roman" w:hAnsi="Times New Roman" w:cs="Times New Roman"/>
        </w:rPr>
      </w:pPr>
      <w:r w:rsidRPr="005C429C">
        <w:rPr>
          <w:rFonts w:ascii="Times New Roman" w:hAnsi="Times New Roman" w:cs="Times New Roman"/>
        </w:rPr>
        <w:t xml:space="preserve">- Florbetaben: </w:t>
      </w:r>
      <w:r w:rsidRPr="005C429C">
        <w:rPr>
          <w:rFonts w:ascii="Times New Roman" w:hAnsi="Times New Roman" w:cs="Times New Roman"/>
        </w:rPr>
        <w:tab/>
      </w:r>
      <w:r w:rsidRPr="005C429C">
        <w:rPr>
          <w:rFonts w:ascii="Times New Roman" w:hAnsi="Times New Roman" w:cs="Times New Roman"/>
        </w:rPr>
        <w:tab/>
        <w:t>Centiloid = 153.4 x SUVR -154.9</w:t>
      </w:r>
    </w:p>
    <w:p w14:paraId="4FE9EBA0" w14:textId="77777777" w:rsidR="00715DE1" w:rsidRPr="005C429C" w:rsidRDefault="00715DE1" w:rsidP="00DB55E9">
      <w:pPr>
        <w:jc w:val="both"/>
        <w:rPr>
          <w:rFonts w:ascii="Times New Roman" w:hAnsi="Times New Roman" w:cs="Times New Roman"/>
        </w:rPr>
      </w:pPr>
      <w:r w:rsidRPr="005C429C">
        <w:rPr>
          <w:rFonts w:ascii="Times New Roman" w:hAnsi="Times New Roman" w:cs="Times New Roman"/>
        </w:rPr>
        <w:t xml:space="preserve">- Flutemetamol: </w:t>
      </w:r>
      <w:r w:rsidRPr="005C429C">
        <w:rPr>
          <w:rFonts w:ascii="Times New Roman" w:hAnsi="Times New Roman" w:cs="Times New Roman"/>
        </w:rPr>
        <w:tab/>
        <w:t>Centiloid = 116 x SUVR – 113.9</w:t>
      </w:r>
    </w:p>
    <w:p w14:paraId="5B16BD2D" w14:textId="33A5AF92" w:rsidR="00715DE1" w:rsidRPr="005C429C" w:rsidRDefault="00715DE1" w:rsidP="00DB55E9">
      <w:pPr>
        <w:jc w:val="both"/>
        <w:rPr>
          <w:rFonts w:ascii="Times New Roman" w:hAnsi="Times New Roman" w:cs="Times New Roman"/>
        </w:rPr>
      </w:pPr>
      <w:r w:rsidRPr="005C429C">
        <w:rPr>
          <w:rFonts w:ascii="Times New Roman" w:hAnsi="Times New Roman" w:cs="Times New Roman"/>
        </w:rPr>
        <w:t>These equations were originally applied to convert SUVR values recorded at a particular point in time. In our evidence base, the data are reported as the change from baseline so we apply each equation without the intercept terms (since these terms would cancel out when applying the equation to data at each time point, i.e., at baseline and follow-up). For trials in which the multiple tracers were used (e.g., florbetapir and florbetaben), we make the conversion using the average of the regression equations (i.e., averaging the coefficients).</w:t>
      </w:r>
    </w:p>
    <w:p w14:paraId="282CA854" w14:textId="77777777" w:rsidR="0006651C" w:rsidRPr="005C429C" w:rsidRDefault="0006651C" w:rsidP="00DB55E9">
      <w:pPr>
        <w:jc w:val="both"/>
        <w:rPr>
          <w:rFonts w:ascii="Times New Roman" w:hAnsi="Times New Roman" w:cs="Times New Roman"/>
        </w:rPr>
      </w:pPr>
    </w:p>
    <w:p w14:paraId="4308D272" w14:textId="6471F7FD" w:rsidR="00AD4C3C" w:rsidRPr="005C429C" w:rsidRDefault="00AD4C3C" w:rsidP="00DB55E9">
      <w:pPr>
        <w:jc w:val="both"/>
        <w:rPr>
          <w:rFonts w:ascii="Times New Roman" w:hAnsi="Times New Roman" w:cs="Times New Roman"/>
          <w:sz w:val="28"/>
          <w:szCs w:val="28"/>
        </w:rPr>
      </w:pPr>
      <w:r w:rsidRPr="005C429C">
        <w:rPr>
          <w:rFonts w:ascii="Times New Roman" w:hAnsi="Times New Roman" w:cs="Times New Roman"/>
          <w:sz w:val="28"/>
          <w:szCs w:val="28"/>
        </w:rPr>
        <w:t>Appendix B. Literature review</w:t>
      </w:r>
    </w:p>
    <w:p w14:paraId="60AF905E" w14:textId="41710312" w:rsidR="0006651C" w:rsidRPr="005C429C" w:rsidRDefault="0006651C" w:rsidP="00DB55E9">
      <w:pPr>
        <w:jc w:val="both"/>
        <w:rPr>
          <w:rFonts w:ascii="Times New Roman" w:hAnsi="Times New Roman" w:cs="Times New Roman"/>
        </w:rPr>
      </w:pPr>
      <w:r w:rsidRPr="005C429C">
        <w:rPr>
          <w:rFonts w:ascii="Times New Roman" w:hAnsi="Times New Roman" w:cs="Times New Roman"/>
        </w:rPr>
        <w:t xml:space="preserve">Three studies include the effect of anti-Aβ drugs on both PET Aβ and clinical outcome measures (ADAS-Cog, CDR-SOB and MMSE) </w:t>
      </w:r>
      <w:r w:rsidRPr="005C429C">
        <w:rPr>
          <w:rFonts w:ascii="Times New Roman" w:hAnsi="Times New Roman" w:cs="Times New Roman"/>
        </w:rPr>
        <w:fldChar w:fldCharType="begin"/>
      </w:r>
      <w:r w:rsidR="008A4505" w:rsidRPr="005C429C">
        <w:rPr>
          <w:rFonts w:ascii="Times New Roman" w:hAnsi="Times New Roman" w:cs="Times New Roman"/>
        </w:rPr>
        <w:instrText xml:space="preserve"> ADDIN ZOTERO_ITEM CSL_CITATION {"citationID":"PeAf1EzH","properties":{"formattedCitation":"\\super 5\\uc0\\u8211{}7\\nosupersub{}","plainCitation":"5–7","noteIndex":0},"citationItems":[{"id":41,"uris":["http://zotero.org/users/15061285/items/FZ766WUH"],"itemData":{"id":41,"type":"article-journal","abstract":"OBJECTIVE: To investigate the effects of monoclonal antibodies against Aβ on cognition, function, amyloid PET and other biomarkers, as well as risk for amyloid-related imaging abnormalities (ARIA) and other adverse events, in Alzheimer's disease (AD).\nMETHODS: Pubmed, Web of Science, ClinicalTrials.gov and gray literature were searched for phase III RCTs and random-effects meta-analyses were performed.\nRESULTS: Seventeen studies (12,585 patients) were included. Antibodies statistically improved the cognitive outcomes ADAS-Cog {SMD = -0.06 [95 % CI (-0.10; -0.02), I2 = 0%]} and MMSE {SMD = 0.05 [95 % CI (0.01; 0.09), I2 = 0%]} by small effect sizes, but did not improve the cognitive/functional measure CDR-SOB {SMD = -0.03 [95 % CI (-0.07; 0.01), I2 = 18 %]}. Moreover, antibodies decreased amyloid PET SUVR {SMD = -1.02 [95 % CI (-1.70; -0.34), I2 = 95 %]} and CSF p181-tau {SMD = -0.87 [95 % CI (-1.32; -0.43), I2 = 89 %]} by large effect sizes. They also increased risk for ARIA {RR = 4.30 [95 % CI (2.39; 7.77), I2 = 86 %]} by a large effect size. Antibody effects on reducing amyloid PET SUVR were correlated with their effects on improving ADAS-Cog (r = +0.68, p = 0.02). In subgroup analyses by individual drug, Aducanumab improved ADAS-Cog, CDR-SOB, ADCS-ADL by small effect sizes and decreased amyloid PET SUVR and CSF p181-tau by large effect sizes. Solanezumab improved ADAS-Cog and MMSE by small effect sizes, and increased (improved) CSF Aβ1-40 levels by a moderate effect size. Bapineuzumab, Gantenerumab and Crenezumab did not improve any clinical outcomes. Bapineuzumab and Gantenerumab decreased CSF p181-tau by a small and large effect size, respectively. All drugs except Solanezumab increased ARIA risk.\nCONCLUSIONS: In this meta-analysis of phase III trials in AD, we found that monoclonal antibodies against Aβ induced clinical improvements of small effect sizes, biomarker improvements of large effect sizes, and increases in risk for the hallmark adverse event, ARIA, by a large effect size, when all drugs were pooled together. Among individual drugs, Aducanumab produced the most favorable effects followed by Solanezumab. These findings provide moderate support for the continuous development of anti-Aβ monoclonal antibodies as a treatment for AD.","container-title":"Ageing Research Reviews","DOI":"10.1016/j.arr.2021.101339","ISSN":"1872-9649","journalAbbreviation":"Ageing Res Rev","language":"eng","note":"PMID: 33831607\nPMCID: PMC8161699","page":"101339","source":"PubMed","title":"Effects of monoclonal antibodies against amyloid-β on clinical and biomarker outcomes and adverse event risks: A systematic review and meta-analysis of phase III RCTs in Alzheimer's disease","title-short":"Effects of monoclonal antibodies against amyloid-β on clinical and biomarker outcomes and adverse event risks","volume":"68","author":[{"family":"Avgerinos","given":"Konstantinos I."},{"family":"Ferrucci","given":"Luigi"},{"family":"Kapogiannis","given":"Dimitrios"}],"issued":{"date-parts":[["2021",7]]}}},{"id":47,"uris":["http://zotero.org/users/15061285/items/QURLUY3N"],"itemData":{"id":47,"type":"article-journal","abstract":"BACKGROUND: Monoclonal antibodies (mAbs) are currently among the most investigated targets for potential disease-modifying therapies in Alzheimer's disease (AD).\nOBJECTIVE: Our objectives were to identify all registered trials investigating mAbs in MCI due to AD or AD at any stage, retrieve available published and unpublished data from all registered trials, and analyze data on safety and efficacy outcomes.\nMETHODS: A systematic search of all registered trials on ClinicalTrials.gov and EUCT was performed. Available results were searched on both platforms and on PubMed, ISI Web of Knowledge, and The Cochrane Library.\nRESULTS: Overall, 101 studies were identified on 27 mAbs. Results were available for 50 trials investigating 12 mAbs. For 18 trials, data were available from both published and unpublished sources, for 21 trials only from published sources, and for 11 trials only from unpublished sources. Meta-analyses of amyloid-related imaging abnormalities (ARIA) events showed overall risk ratios of 10.65 for ARIA-E and of 1.75 for ARIA-H. The meta-analysis of PET-SUVR showed an overall significant effect of mAbs in reducing amyloid (SMD -0.88), but when considering clinical efficacy, data on CDR-SB showed that treated patients had a statistically significant but clinically non-relevant lower worsening (MD -0.15).\nCONCLUSION: Our results suggest that the risk-benefit profile of mAbs remains unclear. Research should focus on clarifying the effect of amyloid on cognitive decline, providing data on treatment response rate, and accounting for minimal clinically important difference. Research on mAbs should also investigate the possible long-term impact of ARIA events, including potential factors predicting their onset.","container-title":"Journal of Alzheimer's disease: JAD","DOI":"10.3233/JAD-220046","ISSN":"1875-8908","issue":"1","journalAbbreviation":"J Alzheimers Dis","language":"eng","note":"PMID: 35275549\nPMCID: PMC9198746","page":"101-129","source":"PubMed","title":"Safety and Efficacy of Monoclonal Antibodies for Alzheimer's Disease: A Systematic Review and Meta-Analysis of Published and Unpublished Clinical Trials","title-short":"Safety and Efficacy of Monoclonal Antibodies for Alzheimer's Disease","volume":"87","author":[{"family":"Lacorte","given":"Eleonora"},{"family":"Ancidoni","given":"Antonio"},{"family":"Zaccaria","given":"Valerio"},{"family":"Remoli","given":"Giulia"},{"family":"Tariciotti","given":"Leonardo"},{"family":"Bellomo","given":"Guido"},{"family":"Sciancalepore","given":"Francesco"},{"family":"Corbo","given":"Massimo"},{"family":"Lombardo","given":"Flavia L."},{"family":"Bacigalupo","given":"Ilaria"},{"family":"Canevelli","given":"Marco"},{"family":"Piscopo","given":"Paola"},{"family":"Vanacore","given":"Nicola"}],"issued":{"date-parts":[["2022"]]}}},{"id":111,"uris":["http://zotero.org/users/15061285/items/BAGXFDVG"],"itemData":{"id":111,"type":"article-journal","abstract":"Objective\nTo investigate the effects of the three kinds of anti-amyloid-β (Aβ) drugs on cognitive and other functions, fluid and neuroimaging biomarkers, and safety on patients with Alzheimer’s disease (AD), and rank the three kinds of anti-Aβ drugs.\nMethods\nWe searched Medline, Embase, Cochrane Central Register of Controlled Trials, ClinicalTrials.gov, and AlzForum from inception to January 21, 2023 to include randomized controlled clinical trials. Random effects meta-analyses were performed.\nResults\nForty-one clinical trials (20929 participants, 9167 male) were included. Anti-Aβ drugs had significant but relatively low efficacy in preventing cognitive decline (ADAS-Cog SMD −0.07, 95% CI: −0.10 to −0.03, p &lt; 0.001; CDR-SOB −0.05, −0.09 to −0.01, p = 0.017). Instrumental variable meta-analysis and trial sequential analysis confirmed the reliability of the pooled estimation. Beneficial effects were also observed by assessing other cognitive and activity of daily living scales and biomarkers, with acceptable safety of anti-Aβ drugs. Meta-regression demonstrated significant association between higher baseline mini-mental statement examination scores (MMSE) and better cognitive protective effects on cognitive function (ADAS-Cog β: −0.02, −0.05 to 0.00, p = 0.017) and clearance of pathological productions of anti-Aβ drugs. Network meta-analysis ranked the passive immunotherapy drugs to have the best cognitive efficacy, followed by active immunotherapy and small molecule drugs.\nConclusion\nAnti-Aβ drugs have relatively low efficacy in preventing cognitive decline, and they reduce pathological productions with acceptable safety. Patients with higher baseline MMSE scores benefit more from anti-Aβ drugs. Passive immunotherapy anti-Aβ drugs show relatively better efficacy than active immunotherapy and small molecule anti-Aβ drugs.","container-title":"Ageing Research Reviews","DOI":"10.1016/j.arr.2023.101959","ISSN":"1568-1637","journalAbbreviation":"Ageing Research Reviews","page":"101959","source":"ScienceDirect","title":"Effects of three kinds of anti-amyloid-β drugs on clinical, biomarker, neuroimaging outcomes and safety indexes: A systematic review and meta-analysis of phase II/III clinical trials in Alzheimer’s disease","title-short":"Effects of three kinds of anti-amyloid-β drugs on clinical, biomarker, neuroimaging outcomes and safety indexes","volume":"88","author":[{"family":"Lyu","given":"Diyang"},{"family":"Lyu","given":"Xuanxin"},{"family":"Huang","given":"Li"},{"family":"Fang","given":"Boyan"}],"issued":{"date-parts":[["2023",7,1]]}}}],"schema":"https://github.com/citation-style-language/schema/raw/master/csl-citation.json"} </w:instrText>
      </w:r>
      <w:r w:rsidRPr="005C429C">
        <w:rPr>
          <w:rFonts w:ascii="Times New Roman" w:hAnsi="Times New Roman" w:cs="Times New Roman"/>
        </w:rPr>
        <w:fldChar w:fldCharType="separate"/>
      </w:r>
      <w:r w:rsidR="008A4505" w:rsidRPr="005C429C">
        <w:rPr>
          <w:rFonts w:ascii="Times New Roman" w:hAnsi="Times New Roman" w:cs="Times New Roman"/>
          <w:kern w:val="0"/>
          <w:szCs w:val="24"/>
          <w:vertAlign w:val="superscript"/>
        </w:rPr>
        <w:t>5–7</w:t>
      </w:r>
      <w:r w:rsidRPr="005C429C">
        <w:rPr>
          <w:rFonts w:ascii="Times New Roman" w:hAnsi="Times New Roman" w:cs="Times New Roman"/>
        </w:rPr>
        <w:fldChar w:fldCharType="end"/>
      </w:r>
      <w:r w:rsidRPr="005C429C">
        <w:rPr>
          <w:rFonts w:ascii="Times New Roman" w:hAnsi="Times New Roman" w:cs="Times New Roman"/>
        </w:rPr>
        <w:t xml:space="preserve">. Although the results of these meta-analyses showed an overall significant effect in reducing Aβ, the effect on the clinical outcome measures varied across the meta-analyses. Avgerinos </w:t>
      </w:r>
      <w:r w:rsidRPr="005C429C">
        <w:rPr>
          <w:rFonts w:ascii="Times New Roman" w:hAnsi="Times New Roman" w:cs="Times New Roman"/>
          <w:i/>
          <w:iCs/>
        </w:rPr>
        <w:t>et al.</w:t>
      </w:r>
      <w:r w:rsidRPr="005C429C">
        <w:rPr>
          <w:rFonts w:ascii="Times New Roman" w:hAnsi="Times New Roman" w:cs="Times New Roman"/>
        </w:rPr>
        <w:t xml:space="preserve"> </w:t>
      </w:r>
      <w:r w:rsidRPr="005C429C">
        <w:rPr>
          <w:rFonts w:ascii="Times New Roman" w:hAnsi="Times New Roman" w:cs="Times New Roman"/>
        </w:rPr>
        <w:fldChar w:fldCharType="begin"/>
      </w:r>
      <w:r w:rsidR="008A4505" w:rsidRPr="005C429C">
        <w:rPr>
          <w:rFonts w:ascii="Times New Roman" w:hAnsi="Times New Roman" w:cs="Times New Roman"/>
        </w:rPr>
        <w:instrText xml:space="preserve"> ADDIN ZOTERO_ITEM CSL_CITATION {"citationID":"c209pB0l","properties":{"formattedCitation":"\\super 5\\nosupersub{}","plainCitation":"5","noteIndex":0},"citationItems":[{"id":41,"uris":["http://zotero.org/users/15061285/items/FZ766WUH"],"itemData":{"id":41,"type":"article-journal","abstract":"OBJECTIVE: To investigate the effects of monoclonal antibodies against Aβ on cognition, function, amyloid PET and other biomarkers, as well as risk for amyloid-related imaging abnormalities (ARIA) and other adverse events, in Alzheimer's disease (AD).\nMETHODS: Pubmed, Web of Science, ClinicalTrials.gov and gray literature were searched for phase III RCTs and random-effects meta-analyses were performed.\nRESULTS: Seventeen studies (12,585 patients) were included. Antibodies statistically improved the cognitive outcomes ADAS-Cog {SMD = -0.06 [95 % CI (-0.10; -0.02), I2 = 0%]} and MMSE {SMD = 0.05 [95 % CI (0.01; 0.09), I2 = 0%]} by small effect sizes, but did not improve the cognitive/functional measure CDR-SOB {SMD = -0.03 [95 % CI (-0.07; 0.01), I2 = 18 %]}. Moreover, antibodies decreased amyloid PET SUVR {SMD = -1.02 [95 % CI (-1.70; -0.34), I2 = 95 %]} and CSF p181-tau {SMD = -0.87 [95 % CI (-1.32; -0.43), I2 = 89 %]} by large effect sizes. They also increased risk for ARIA {RR = 4.30 [95 % CI (2.39; 7.77), I2 = 86 %]} by a large effect size. Antibody effects on reducing amyloid PET SUVR were correlated with their effects on improving ADAS-Cog (r = +0.68, p = 0.02). In subgroup analyses by individual drug, Aducanumab improved ADAS-Cog, CDR-SOB, ADCS-ADL by small effect sizes and decreased amyloid PET SUVR and CSF p181-tau by large effect sizes. Solanezumab improved ADAS-Cog and MMSE by small effect sizes, and increased (improved) CSF Aβ1-40 levels by a moderate effect size. Bapineuzumab, Gantenerumab and Crenezumab did not improve any clinical outcomes. Bapineuzumab and Gantenerumab decreased CSF p181-tau by a small and large effect size, respectively. All drugs except Solanezumab increased ARIA risk.\nCONCLUSIONS: In this meta-analysis of phase III trials in AD, we found that monoclonal antibodies against Aβ induced clinical improvements of small effect sizes, biomarker improvements of large effect sizes, and increases in risk for the hallmark adverse event, ARIA, by a large effect size, when all drugs were pooled together. Among individual drugs, Aducanumab produced the most favorable effects followed by Solanezumab. These findings provide moderate support for the continuous development of anti-Aβ monoclonal antibodies as a treatment for AD.","container-title":"Ageing Research Reviews","DOI":"10.1016/j.arr.2021.101339","ISSN":"1872-9649","journalAbbreviation":"Ageing Res Rev","language":"eng","note":"PMID: 33831607\nPMCID: PMC8161699","page":"101339","source":"PubMed","title":"Effects of monoclonal antibodies against amyloid-β on clinical and biomarker outcomes and adverse event risks: A systematic review and meta-analysis of phase III RCTs in Alzheimer's disease","title-short":"Effects of monoclonal antibodies against amyloid-β on clinical and biomarker outcomes and adverse event risks","volume":"68","author":[{"family":"Avgerinos","given":"Konstantinos I."},{"family":"Ferrucci","given":"Luigi"},{"family":"Kapogiannis","given":"Dimitrios"}],"issued":{"date-parts":[["2021",7]]}}}],"schema":"https://github.com/citation-style-language/schema/raw/master/csl-citation.json"} </w:instrText>
      </w:r>
      <w:r w:rsidRPr="005C429C">
        <w:rPr>
          <w:rFonts w:ascii="Times New Roman" w:hAnsi="Times New Roman" w:cs="Times New Roman"/>
        </w:rPr>
        <w:fldChar w:fldCharType="separate"/>
      </w:r>
      <w:r w:rsidR="008A4505" w:rsidRPr="005C429C">
        <w:rPr>
          <w:rFonts w:ascii="Times New Roman" w:hAnsi="Times New Roman" w:cs="Times New Roman"/>
          <w:kern w:val="0"/>
          <w:szCs w:val="24"/>
          <w:vertAlign w:val="superscript"/>
        </w:rPr>
        <w:t>5</w:t>
      </w:r>
      <w:r w:rsidRPr="005C429C">
        <w:rPr>
          <w:rFonts w:ascii="Times New Roman" w:hAnsi="Times New Roman" w:cs="Times New Roman"/>
        </w:rPr>
        <w:fldChar w:fldCharType="end"/>
      </w:r>
      <w:r w:rsidRPr="005C429C">
        <w:rPr>
          <w:rFonts w:ascii="Times New Roman" w:hAnsi="Times New Roman" w:cs="Times New Roman"/>
        </w:rPr>
        <w:t xml:space="preserve"> found a small positive effect of anti-Aβ drugs on both ADAS-Cog and MMSE, but no effect was evident on CDR-SOB based on 17 studies. Lacorte </w:t>
      </w:r>
      <w:r w:rsidRPr="005C429C">
        <w:rPr>
          <w:rFonts w:ascii="Times New Roman" w:hAnsi="Times New Roman" w:cs="Times New Roman"/>
          <w:i/>
          <w:iCs/>
        </w:rPr>
        <w:t>et al.</w:t>
      </w:r>
      <w:r w:rsidRPr="005C429C">
        <w:rPr>
          <w:rFonts w:ascii="Times New Roman" w:hAnsi="Times New Roman" w:cs="Times New Roman"/>
        </w:rPr>
        <w:t xml:space="preserve"> </w:t>
      </w:r>
      <w:r w:rsidRPr="005C429C">
        <w:rPr>
          <w:rFonts w:ascii="Times New Roman" w:hAnsi="Times New Roman" w:cs="Times New Roman"/>
        </w:rPr>
        <w:fldChar w:fldCharType="begin"/>
      </w:r>
      <w:r w:rsidR="008A4505" w:rsidRPr="005C429C">
        <w:rPr>
          <w:rFonts w:ascii="Times New Roman" w:hAnsi="Times New Roman" w:cs="Times New Roman"/>
        </w:rPr>
        <w:instrText xml:space="preserve"> ADDIN ZOTERO_ITEM CSL_CITATION {"citationID":"PCUwjYpP","properties":{"formattedCitation":"\\super 6\\nosupersub{}","plainCitation":"6","noteIndex":0},"citationItems":[{"id":47,"uris":["http://zotero.org/users/15061285/items/QURLUY3N"],"itemData":{"id":47,"type":"article-journal","abstract":"BACKGROUND: Monoclonal antibodies (mAbs) are currently among the most investigated targets for potential disease-modifying therapies in Alzheimer's disease (AD).\nOBJECTIVE: Our objectives were to identify all registered trials investigating mAbs in MCI due to AD or AD at any stage, retrieve available published and unpublished data from all registered trials, and analyze data on safety and efficacy outcomes.\nMETHODS: A systematic search of all registered trials on ClinicalTrials.gov and EUCT was performed. Available results were searched on both platforms and on PubMed, ISI Web of Knowledge, and The Cochrane Library.\nRESULTS: Overall, 101 studies were identified on 27 mAbs. Results were available for 50 trials investigating 12 mAbs. For 18 trials, data were available from both published and unpublished sources, for 21 trials only from published sources, and for 11 trials only from unpublished sources. Meta-analyses of amyloid-related imaging abnormalities (ARIA) events showed overall risk ratios of 10.65 for ARIA-E and of 1.75 for ARIA-H. The meta-analysis of PET-SUVR showed an overall significant effect of mAbs in reducing amyloid (SMD -0.88), but when considering clinical efficacy, data on CDR-SB showed that treated patients had a statistically significant but clinically non-relevant lower worsening (MD -0.15).\nCONCLUSION: Our results suggest that the risk-benefit profile of mAbs remains unclear. Research should focus on clarifying the effect of amyloid on cognitive decline, providing data on treatment response rate, and accounting for minimal clinically important difference. Research on mAbs should also investigate the possible long-term impact of ARIA events, including potential factors predicting their onset.","container-title":"Journal of Alzheimer's disease: JAD","DOI":"10.3233/JAD-220046","ISSN":"1875-8908","issue":"1","journalAbbreviation":"J Alzheimers Dis","language":"eng","note":"PMID: 35275549\nPMCID: PMC9198746","page":"101-129","source":"PubMed","title":"Safety and Efficacy of Monoclonal Antibodies for Alzheimer's Disease: A Systematic Review and Meta-Analysis of Published and Unpublished Clinical Trials","title-short":"Safety and Efficacy of Monoclonal Antibodies for Alzheimer's Disease","volume":"87","author":[{"family":"Lacorte","given":"Eleonora"},{"family":"Ancidoni","given":"Antonio"},{"family":"Zaccaria","given":"Valerio"},{"family":"Remoli","given":"Giulia"},{"family":"Tariciotti","given":"Leonardo"},{"family":"Bellomo","given":"Guido"},{"family":"Sciancalepore","given":"Francesco"},{"family":"Corbo","given":"Massimo"},{"family":"Lombardo","given":"Flavia L."},{"family":"Bacigalupo","given":"Ilaria"},{"family":"Canevelli","given":"Marco"},{"family":"Piscopo","given":"Paola"},{"family":"Vanacore","given":"Nicola"}],"issued":{"date-parts":[["2022"]]}}}],"schema":"https://github.com/citation-style-language/schema/raw/master/csl-citation.json"} </w:instrText>
      </w:r>
      <w:r w:rsidRPr="005C429C">
        <w:rPr>
          <w:rFonts w:ascii="Times New Roman" w:hAnsi="Times New Roman" w:cs="Times New Roman"/>
        </w:rPr>
        <w:fldChar w:fldCharType="separate"/>
      </w:r>
      <w:r w:rsidR="008A4505" w:rsidRPr="005C429C">
        <w:rPr>
          <w:rFonts w:ascii="Times New Roman" w:hAnsi="Times New Roman" w:cs="Times New Roman"/>
          <w:kern w:val="0"/>
          <w:szCs w:val="24"/>
          <w:vertAlign w:val="superscript"/>
        </w:rPr>
        <w:t>6</w:t>
      </w:r>
      <w:r w:rsidRPr="005C429C">
        <w:rPr>
          <w:rFonts w:ascii="Times New Roman" w:hAnsi="Times New Roman" w:cs="Times New Roman"/>
        </w:rPr>
        <w:fldChar w:fldCharType="end"/>
      </w:r>
      <w:r w:rsidRPr="005C429C">
        <w:rPr>
          <w:rFonts w:ascii="Times New Roman" w:hAnsi="Times New Roman" w:cs="Times New Roman"/>
        </w:rPr>
        <w:t xml:space="preserve"> identified and found a negative effect of anti-Aβ drugs on CDR-SOB after performing a synthesis. Lyu </w:t>
      </w:r>
      <w:r w:rsidRPr="005C429C">
        <w:rPr>
          <w:rFonts w:ascii="Times New Roman" w:hAnsi="Times New Roman" w:cs="Times New Roman"/>
          <w:i/>
          <w:iCs/>
        </w:rPr>
        <w:t>et al.</w:t>
      </w:r>
      <w:r w:rsidRPr="005C429C">
        <w:rPr>
          <w:rFonts w:ascii="Times New Roman" w:hAnsi="Times New Roman" w:cs="Times New Roman"/>
        </w:rPr>
        <w:t xml:space="preserve"> </w:t>
      </w:r>
      <w:r w:rsidRPr="005C429C">
        <w:rPr>
          <w:rFonts w:ascii="Times New Roman" w:hAnsi="Times New Roman" w:cs="Times New Roman"/>
        </w:rPr>
        <w:fldChar w:fldCharType="begin"/>
      </w:r>
      <w:r w:rsidR="008A4505" w:rsidRPr="005C429C">
        <w:rPr>
          <w:rFonts w:ascii="Times New Roman" w:hAnsi="Times New Roman" w:cs="Times New Roman"/>
        </w:rPr>
        <w:instrText xml:space="preserve"> ADDIN ZOTERO_ITEM CSL_CITATION {"citationID":"Hg2a0Q9K","properties":{"formattedCitation":"\\super 7\\nosupersub{}","plainCitation":"7","noteIndex":0},"citationItems":[{"id":111,"uris":["http://zotero.org/users/15061285/items/BAGXFDVG"],"itemData":{"id":111,"type":"article-journal","abstract":"Objective\nTo investigate the effects of the three kinds of anti-amyloid-β (Aβ) drugs on cognitive and other functions, fluid and neuroimaging biomarkers, and safety on patients with Alzheimer’s disease (AD), and rank the three kinds of anti-Aβ drugs.\nMethods\nWe searched Medline, Embase, Cochrane Central Register of Controlled Trials, ClinicalTrials.gov, and AlzForum from inception to January 21, 2023 to include randomized controlled clinical trials. Random effects meta-analyses were performed.\nResults\nForty-one clinical trials (20929 participants, 9167 male) were included. Anti-Aβ drugs had significant but relatively low efficacy in preventing cognitive decline (ADAS-Cog SMD −0.07, 95% CI: −0.10 to −0.03, p &lt; 0.001; CDR-SOB −0.05, −0.09 to −0.01, p = 0.017). Instrumental variable meta-analysis and trial sequential analysis confirmed the reliability of the pooled estimation. Beneficial effects were also observed by assessing other cognitive and activity of daily living scales and biomarkers, with acceptable safety of anti-Aβ drugs. Meta-regression demonstrated significant association between higher baseline mini-mental statement examination scores (MMSE) and better cognitive protective effects on cognitive function (ADAS-Cog β: −0.02, −0.05 to 0.00, p = 0.017) and clearance of pathological productions of anti-Aβ drugs. Network meta-analysis ranked the passive immunotherapy drugs to have the best cognitive efficacy, followed by active immunotherapy and small molecule drugs.\nConclusion\nAnti-Aβ drugs have relatively low efficacy in preventing cognitive decline, and they reduce pathological productions with acceptable safety. Patients with higher baseline MMSE scores benefit more from anti-Aβ drugs. Passive immunotherapy anti-Aβ drugs show relatively better efficacy than active immunotherapy and small molecule anti-Aβ drugs.","container-title":"Ageing Research Reviews","DOI":"10.1016/j.arr.2023.101959","ISSN":"1568-1637","journalAbbreviation":"Ageing Research Reviews","page":"101959","source":"ScienceDirect","title":"Effects of three kinds of anti-amyloid-β drugs on clinical, biomarker, neuroimaging outcomes and safety indexes: A systematic review and meta-analysis of phase II/III clinical trials in Alzheimer’s disease","title-short":"Effects of three kinds of anti-amyloid-β drugs on clinical, biomarker, neuroimaging outcomes and safety indexes","volume":"88","author":[{"family":"Lyu","given":"Diyang"},{"family":"Lyu","given":"Xuanxin"},{"family":"Huang","given":"Li"},{"family":"Fang","given":"Boyan"}],"issued":{"date-parts":[["2023",7,1]]}}}],"schema":"https://github.com/citation-style-language/schema/raw/master/csl-citation.json"} </w:instrText>
      </w:r>
      <w:r w:rsidRPr="005C429C">
        <w:rPr>
          <w:rFonts w:ascii="Times New Roman" w:hAnsi="Times New Roman" w:cs="Times New Roman"/>
        </w:rPr>
        <w:fldChar w:fldCharType="separate"/>
      </w:r>
      <w:r w:rsidR="008A4505" w:rsidRPr="005C429C">
        <w:rPr>
          <w:rFonts w:ascii="Times New Roman" w:hAnsi="Times New Roman" w:cs="Times New Roman"/>
          <w:kern w:val="0"/>
          <w:szCs w:val="24"/>
          <w:vertAlign w:val="superscript"/>
        </w:rPr>
        <w:t>7</w:t>
      </w:r>
      <w:r w:rsidRPr="005C429C">
        <w:rPr>
          <w:rFonts w:ascii="Times New Roman" w:hAnsi="Times New Roman" w:cs="Times New Roman"/>
        </w:rPr>
        <w:fldChar w:fldCharType="end"/>
      </w:r>
      <w:r w:rsidRPr="005C429C">
        <w:rPr>
          <w:rFonts w:ascii="Times New Roman" w:hAnsi="Times New Roman" w:cs="Times New Roman"/>
        </w:rPr>
        <w:t xml:space="preserve"> found significant effects on ADAS-Cog, CDR-SOB and MMSE. </w:t>
      </w:r>
    </w:p>
    <w:p w14:paraId="0D2F5701" w14:textId="156DD9B2" w:rsidR="00B63A86" w:rsidRDefault="0006651C" w:rsidP="00DB55E9">
      <w:pPr>
        <w:jc w:val="both"/>
        <w:rPr>
          <w:rFonts w:ascii="Times New Roman" w:hAnsi="Times New Roman" w:cs="Times New Roman"/>
        </w:rPr>
      </w:pPr>
      <w:r w:rsidRPr="005C429C">
        <w:rPr>
          <w:rFonts w:ascii="Times New Roman" w:hAnsi="Times New Roman" w:cs="Times New Roman"/>
        </w:rPr>
        <w:t xml:space="preserve">There were </w:t>
      </w:r>
      <w:r w:rsidR="009D6087" w:rsidRPr="005C429C">
        <w:rPr>
          <w:rFonts w:ascii="Times New Roman" w:hAnsi="Times New Roman" w:cs="Times New Roman"/>
        </w:rPr>
        <w:t>six</w:t>
      </w:r>
      <w:r w:rsidRPr="005C429C">
        <w:rPr>
          <w:rFonts w:ascii="Times New Roman" w:hAnsi="Times New Roman" w:cs="Times New Roman"/>
        </w:rPr>
        <w:t xml:space="preserve"> meta-analyses </w:t>
      </w:r>
      <w:r w:rsidRPr="005C429C">
        <w:rPr>
          <w:rFonts w:ascii="Times New Roman" w:hAnsi="Times New Roman" w:cs="Times New Roman"/>
        </w:rPr>
        <w:fldChar w:fldCharType="begin"/>
      </w:r>
      <w:r w:rsidR="008A4505" w:rsidRPr="005C429C">
        <w:rPr>
          <w:rFonts w:ascii="Times New Roman" w:hAnsi="Times New Roman" w:cs="Times New Roman"/>
        </w:rPr>
        <w:instrText xml:space="preserve"> ADDIN ZOTERO_ITEM CSL_CITATION {"citationID":"0ZOi5uNR","properties":{"formattedCitation":"\\super 8\\uc0\\u8211{}13\\nosupersub{}","plainCitation":"8–13","noteIndex":0},"citationItems":[{"id":75,"uris":["http://zotero.org/users/15061285/items/7C96X8VN"],"itemData":{"id":75,"type":"article-journal","abstract":"The risk-benefit profile of anti-Aβ monoclonal antibodies (mAbs) in Alzheimer's disease (AD) remains unclear, especially concerning their safety and overall effects on AD progression and cognitive function. Here, we investigated cognitive, biomarker and side effects of anti-Aβ mAbs in large phase III randomized placebo-controlled clinical trials (RCTs) in sporadic AD. The search was performed on Google Scholar, PubMed and ClinicalTrials.gov by applying Jadad score to evaluate the methodological quality of the reports. Studies were excluded if they scored &lt; 3 on Jadad scale or if they analyzed less than 200 sporadic AD patients. We followed PRISMA guidelines and DerSimonian-Laird random-effects model in R. Primary outcomes were cognitive: AD Assessment Scale-Cognitive Subscale (ADAS-Cog), Mini Mental State Examination (MMSE) and Clinical Dementia Rating Scale-sum of Boxes (CDR-SB). Secondary and tertiary outcomes included biomarkers of Aβ and tau pathology, adverse events, and performance on Alzheimer's Disease Cooperative Study - Activities of Daily Living Scale. The meta-analysis included 14,980 patients in 14 studies and four mAbs: Bapineuzumab, Aducanumab, Solanezumab and Lecanemab. The results of this study suggest that anti-Aβ mAbs statistically improved cognitive and biomarker outcomes, particularly Aducanumab and Lecanemab. However, while cognitive effects were of small effect sizes, these drugs considerably increased risk of side effects such as Amyloid Related Imaging Abnormalities (ARIA), especially in APOE-ε4 carriers. Meta-regression revealed that higher (better) baseline MMSE score was associated with improved ADAS Cog and CDR-SB. In order to improve reproducibility and update the analysis in the future, we developed AlzMeta.app, web-based application freely available at https://alzmetaapp.shinyapps.io/alzmeta/.","container-title":"Ageing Research Reviews","DOI":"10.1016/j.arr.2023.102012","ISSN":"1872-9649","journalAbbreviation":"Ageing Res Rev","language":"eng","note":"PMID: 37423541","page":"102012","source":"PubMed","title":"Efficacy and safety of anti-amyloid-β monoclonal antibodies in current Alzheimer's disease phase III clinical trials: A systematic review and interactive web app-based meta-analysis","title-short":"Efficacy and safety of anti-amyloid-β monoclonal antibodies in current Alzheimer's disease phase III clinical trials","volume":"90","author":[{"family":"Jeremic","given":"Danko"},{"family":"Navarro-López","given":"Juan D."},{"family":"Jiménez-Díaz","given":"Lydia"}],"issued":{"date-parts":[["2023",9]]}}},{"id":44,"uris":["http://zotero.org/users/15061285/items/8EPE5Z7J"],"itemData":{"id":44,"type":"article-journal","abstract":"Numerous clinical trials of anti-amyloid beta (Aβ) immunotherapy in Alzheimer's disease have been performed. None of these have provided convincing evidence for beneficial effects. Using traditional frequentist meta-analysis, the conclusion is that there is absence of evidence for a therapeutic effect, with a point estimate effect size of 0.05 (95% confidence interval -0.00 to 0.10, P = .055). In addition, this non-significant effect equates to 0.4 points per year on the cognitive subscale of the Alzheimer's Disease Assessment Scale. This is well below the minimally clinically important difference. Bayesian meta-analysis of these trial data provides strong evidence of absence of a therapeutic effect, with a Bayes factor of 11.27 in favor of the null hypothesis, opposed to a Bayes factor of 0.09 in favor of a treatment effect. Bayesian analysis is particularly valuable in this context of repeatedly reported small, non-significant effect sizes in individual trials. Mechanisms other than removal of Aβ from the brain may be probed to slow progression of Alzheimer's disease.","container-title":"Alzheimer's &amp; Dementia: The Journal of the Alzheimer's Association","DOI":"10.1002/alz.12379","ISSN":"1552-5279","issue":"6","journalAbbreviation":"Alzheimers Dement","language":"eng","note":"PMID: 34057297\nPMCID: PMC8251763","page":"1051-1055","source":"PubMed","title":"Bayes analysis supports null hypothesis of anti-amyloid beta therapy in Alzheimer's disease","volume":"17","author":[{"family":"Richard","given":"Edo"},{"family":"Brok","given":"Melina G. H. E.","non-dropping-particle":"den"},{"family":"Gool","given":"Willem A.","non-dropping-particle":"van"}],"issued":{"date-parts":[["2021",6]]}}},{"id":113,"uris":["http://zotero.org/users/15061285/items/XBZ6CBVU"],"itemData":{"id":113,"type":"article-journal","abstract":"Background For the last 20 years, the amyloid-beta (Aβ) cascade hypothesis has been dominant in the research of disease-modifying therapeutics, with spent of financial and clinical resources in potential drugs targeting Aβ peptide production or clearance. (1) In this context, monoclonal antibodies targeting beta-amyloid (Aβ-mAbs) are being tested to reduce the amyloid burden in patients with Alzheimer’s Disease (AD). (2) However, the cognitive impact of Aβ-mAbs remains controversial. (3) We aim to evaluate the conflicting results of previous studies using a meta-analysis. Method We searched PubMed, Embase, and Cochrane databases, following until April 2021, using the search terms: ”Alzheimer's disease” OR ”dementia” cross-referenced with ”monoclonal antibodies”, considering the synonyms. Eligible articles were randomized clinical trials with Aβ-mAbs that reported cognitive outcomes. The cognitive function was assessed by Alzheimer’s Disease Assessment Scale (ADAS-cog) and Mini-Mental State-Exam (MMSE). We performed a meta-analysis comparing mAbs and placebo, considering a minimal significant clinical change of 3 points in ADAS-Cog and 2 points in MMSE. Result We found 12 eligible studies in 443 identified records, involving 6736 patients, mean age 71.4 ± 2. We found a small benefit in cognitive outcomes in patients treated with Aβ-mAbs: ADAS-Cog: mean difference (MD) = - 0.65; 95% CI (-1.05 to - 0.26); I² = 12%; (p = 0.001) and MMSE: MD = 0.40; 95% CI (0.18 to 0.63); I² = 10%; (p = 0.0004). The Funnel plot and Egger’s test did not show publication bias. MD was below the minimal clinically relevant change in both scales. Conclusion Aβ-mAbs may have a positive cognitive benefit in AD patients. However, the impact magnitude is small, not reaching minimal clinically relevant change for these scales. References: (1) Panza F, Lozupone M, Seripa D, Imbimbo BP. Amyloid-β immunotherapy for alzheimer disease: Is it now a long shot? Ann Neurol. 2019 Mar;85(3):303–15. (2) Liu J, Yang B, Ke J, Li W, Suen W-C. Antibody-Based Drugs and Approaches Against Amyloid-β Species for Alzheimer’s Disease Immunotherapy. Drugs Aging. 2016 Oct;33(10):685–97. (3) Panza F, Lozupone M, Logroscino G, Imbimbo BP. A critical appraisal of amyloid-β-targeting therapies for Alzheimer disease. Nat Rev Neurol. 2019 Feb;15(2):73–88.","container-title":"Alzheimer's &amp; Dementia","DOI":"10.1002/alz.057778","ISSN":"1552-5279","issue":"S9","language":"en","license":"© 2021 the Alzheimer's Association","note":"_eprint: https://onlinelibrary.wiley.com/doi/pdf/10.1002/alz.057778","page":"e057778","source":"Wiley Online Library","title":"Cognitive outcomes of anti-amyloid-β monoclonal antibodies in patients with Alzheimer's disease: A systematic review and meta-analysis of randomized controlled trials","title-short":"Cognitive outcomes of anti-amyloid-β monoclonal antibodies in patients with Alzheimer's disease","volume":"17","author":[{"family":"Fernandez","given":"Paulo Eduardo Lahoz"},{"family":"Silva","given":"Guilherme Diogo"}],"issued":{"date-parts":[["2021"]]}}},{"id":133,"uris":["http://zotero.org/users/15061285/items/6RRZYPDW"],"itemData":{"id":133,"type":"article-journal","abstract":"In 2021, aducanumab, an immunotherapy targeting amyloid-β, was approved for Alzheimer's disease (AD) by the US Food and Drug Administration thanks to positive results on a putative biological surrogate marker. This approval has raised an unprecedented controversy. It was followed by a refusal of the European Medicine Agency, which does not allow the marketing of drugs solely on biological arguments and raised safety issues, and important US coverage limitations by the Centers for Medicare &amp; Medicaid Services. Two other anti-amyloid immunotherapies showed significant results regarding a clinical outcome in phase 2 trials, and five drugs are being studied in phase 3 trials. Compared to those tested in previous trials of the 2010s, the common feature and novelty of these anti-amyloid immunotherapies is their ability to induce a high clearance of amyloid load, as measured with positron emission tomography, in the brain of early-stage biomarker-proven AD patients. Here, we review the available evidence regarding efficacy and safety data and medico-economical aspects for high-clearance anti-amyloid immunotherapies. We also perform frequentist and Bayesian meta-analyses of the clinical efficacy and safety of the highest dose groups from the two aducanumab phase 3 trials and the donanemab and lecanemab phase 2 trials. When pooled together, the data from high-clearance anti-amyloid immunotherapies trials confirm a statistically significant clinical effect of these drugs on cognitive decline after 18 months (difference in cognitive decline measured with CDR-SB after 18 months between the high dose immunotherapy groups vs. placebo = -0.24 points; P=0.04, frequentist random-effect model), with results on ADAS-Cog being the most statistically robust. However, this effect remains below the previously established minimal clinically relevant values. In parallel, the drugs significantly increased the occurrence of amyloid-related imaging abnormalities-edema (ARIA-E: risk ratio=13.39; P&lt;0.0001), ARIA-hemorrhage (risk ratio=2.78; P=0.0002), and symptomatic and serious ARIA (7/1321=0.53% in the high dose groups versus 0/1446 in the placebo groups; risk ratio=6.44; P=0.04). The risk/benefit ratio of high-clearance immunotherapies in early AD is so far questionable after 18 months. Identifying subgroups of better responders, the perspective of combination therapies, and a longer follow-up may help improve their clinical relevance. Finally, the preliminary evidence from medico-economical analyses seems to indicate that the current cost of aducanumab in the US is not in reasonable alignment with its clinical benefits.","container-title":"Revue Neurologique","DOI":"10.1016/j.neurol.2022.06.012","ISSN":"0035-3787","issue":"10","journalAbbreviation":"Rev Neurol (Paris)","language":"eng","note":"PMID: 36184326","page":"1011-1030","source":"PubMed","title":"High-clearance anti-amyloid immunotherapies in Alzheimer's disease. Part 1: Meta-analysis and review of efficacy and safety data, and medico-economical aspects","title-short":"High-clearance anti-amyloid immunotherapies in Alzheimer's disease. Part 1","volume":"178","author":[{"family":"Villain","given":"N."},{"family":"Planche","given":"V."},{"family":"Levy","given":"R."}],"issued":{"date-parts":[["2022",12]]}}},{"id":130,"uris":["http://zotero.org/users/15061285/items/CVZUEL3M"],"itemData":{"id":130,"type":"article-journal","abstract":"INTRODUCTION: Phase 3 trials using the anti-amyloid antibodies aducanumab, lecanemab, donanemab, and high-dose gantenerumab in prodromal and mild Alzheimer's disease dementia were heterogeneous in respect to statistical significance of effects. However, heterogeneity of results has not yet directly be quantified.\nMETHODS: We used Bayesian random effects meta-analysis to quantify evidence for or against a treatment effect, and assessed the size of the effect and its heterogeneity. Data were extracted from published studies where available and Web based data reports, assuming a Gaussian data generation process.\nRESULTS: We found moderate evidence in favor of a treatment effect (Bayes factor = 13.2). The effect was moderate to small with -0.33 (95% credible interval -0.54 to -0.10) points on the Clinical Dementia Rating - Sum of Boxes (CDR-SB) scale. The heterogeneity parameter was low to moderate with 0.21 (0.04 to 0.45) CDR-SB points.\nDISCUSSION: Heterogeneity across studies was moderate despite some trials reaching statistical significance, while others did not. This suggests that the negative aducanumab and gantenerumab trials are in full agreement with the expected effect sizes.","container-title":"Alzheimer's &amp; Dementia (New York, N. Y.)","DOI":"10.1002/trc2.12454","ISSN":"2352-8737","issue":"1","journalAbbreviation":"Alzheimers Dement (N Y)","language":"eng","note":"PMID: 38389855\nPMCID: PMC10883242","page":"e12454","source":"PubMed","title":"Bayesian meta-analysis of phase 3 results of aducanumab, lecanemab, donanemab, and high-dose gantenerumab in prodromal and mild Alzheimer's disease","volume":"10","author":[{"family":"Teipel","given":"Stefan J."},{"family":"Temp","given":"Anna G. M."},{"family":"Lutz","given":"Michael W."}],"issued":{"date-parts":[["2024"]]}}},{"id":127,"uris":["http://zotero.org/users/15061285/items/25V8I3CS"],"itemData":{"id":127,"type":"article-journal","abstract":"INTRODUCTION: Solanezumab is a monoclonal antibody that binds to the mid-domain of soluble amyloid β peptide. This meta-analysis evaluated the effect of low-dose solanezumab on clinical progression in three phase 3 studies.\nMETHODS: The population comprised patients aged ≥55 years with Alzheimer's disease (AD) with mild dementia, randomized to 400 mg solanezumab or placebo every 4 weeks for 80 weeks. Frequentist mixed-model repeated-measures (MMRM) and Bayesian disease progression model (DPM) longitudinal analyses were conducted.\nRESULTS: Pooled MMRM analyses showed a statistically significant effect of solanezumab across cognitive and functional outcome measures. DPM results were generally consistent with MMRM results, ranging from 15% to 30% slowing of clinical progression.\nDISCUSSION: These analyses suggest low-dose solanezumab slows clinical progression of AD with mild dementia. The ongoing A4 solanezumab study in participants with preclinical AD will ascertain the effect of a higher dose of solanezumab in an earlier disease stage.\nHIGHLIGHTS: Individual EXPEDITION studies were negative but suggest low-dose solanezumab had an effect in slowing the clinical progression of Alzheimer's disease (AD) with mild dementia. At 80 weeks, mixed-model repeated-measures analyses showed numeric reductions in measures of clinical decline in solanezumab-treated arms compared with placebo across almost every outcome measure, and statistical significance in multiple outcome measures in each study. Pooled analyses suggest a high probability that low-dose solanezumab has at least some effect on slowing the clinical progression of AD with mild dementia. Across cognitive and functional outcome measures, estimates from disease progression model analyses range from 15% to 30% slowing of decline with low-dose solanezumab in AD with mild dementia.","container-title":"Alzheimer's &amp; Dementia: The Journal of the Alzheimer's Association","DOI":"10.1002/alz.13031","ISSN":"1552-5279","issue":"10","journalAbbreviation":"Alzheimers Dement","language":"eng","note":"PMID: 36946603","page":"4619-4628","source":"PubMed","title":"Targeting amyloid β in Alzheimer's disease: Meta-analysis of low-dose solanezumab in Alzheimer's disease with mild dementia studies","title-short":"Targeting amyloid β in Alzheimer's disease","volume":"19","author":[{"family":"Holdridge","given":"Karen C."},{"family":"Yaari","given":"Roy"},{"family":"Hoban","given":"Deirdre B."},{"family":"Andersen","given":"Scott"},{"family":"Sims","given":"John R."}],"issued":{"date-parts":[["2023",10]]}}}],"schema":"https://github.com/citation-style-language/schema/raw/master/csl-citation.json"} </w:instrText>
      </w:r>
      <w:r w:rsidRPr="005C429C">
        <w:rPr>
          <w:rFonts w:ascii="Times New Roman" w:hAnsi="Times New Roman" w:cs="Times New Roman"/>
        </w:rPr>
        <w:fldChar w:fldCharType="separate"/>
      </w:r>
      <w:r w:rsidR="008A4505" w:rsidRPr="005C429C">
        <w:rPr>
          <w:rFonts w:ascii="Times New Roman" w:hAnsi="Times New Roman" w:cs="Times New Roman"/>
          <w:kern w:val="0"/>
          <w:szCs w:val="24"/>
          <w:vertAlign w:val="superscript"/>
        </w:rPr>
        <w:t>8–13</w:t>
      </w:r>
      <w:r w:rsidRPr="005C429C">
        <w:rPr>
          <w:rFonts w:ascii="Times New Roman" w:hAnsi="Times New Roman" w:cs="Times New Roman"/>
        </w:rPr>
        <w:fldChar w:fldCharType="end"/>
      </w:r>
      <w:r w:rsidR="009D6087" w:rsidRPr="005C429C">
        <w:rPr>
          <w:rFonts w:ascii="Times New Roman" w:hAnsi="Times New Roman" w:cs="Times New Roman"/>
        </w:rPr>
        <w:t xml:space="preserve"> </w:t>
      </w:r>
      <w:r w:rsidRPr="005C429C">
        <w:rPr>
          <w:rFonts w:ascii="Times New Roman" w:hAnsi="Times New Roman" w:cs="Times New Roman"/>
        </w:rPr>
        <w:t>focusing on different clinical outcomes.</w:t>
      </w:r>
      <w:r w:rsidR="009D6087" w:rsidRPr="005C429C">
        <w:rPr>
          <w:rFonts w:ascii="Times New Roman" w:hAnsi="Times New Roman" w:cs="Times New Roman"/>
        </w:rPr>
        <w:t xml:space="preserve"> Jeremic et al. </w:t>
      </w:r>
      <w:r w:rsidR="009D6087" w:rsidRPr="005C429C">
        <w:rPr>
          <w:rFonts w:ascii="Times New Roman" w:hAnsi="Times New Roman" w:cs="Times New Roman"/>
        </w:rPr>
        <w:fldChar w:fldCharType="begin"/>
      </w:r>
      <w:r w:rsidR="008A4505" w:rsidRPr="005C429C">
        <w:rPr>
          <w:rFonts w:ascii="Times New Roman" w:hAnsi="Times New Roman" w:cs="Times New Roman"/>
        </w:rPr>
        <w:instrText xml:space="preserve"> ADDIN ZOTERO_ITEM CSL_CITATION {"citationID":"ucpP8ufm","properties":{"formattedCitation":"\\super 8\\nosupersub{}","plainCitation":"8","noteIndex":0},"citationItems":[{"id":75,"uris":["http://zotero.org/users/15061285/items/7C96X8VN"],"itemData":{"id":75,"type":"article-journal","abstract":"The risk-benefit profile of anti-Aβ monoclonal antibodies (mAbs) in Alzheimer's disease (AD) remains unclear, especially concerning their safety and overall effects on AD progression and cognitive function. Here, we investigated cognitive, biomarker and side effects of anti-Aβ mAbs in large phase III randomized placebo-controlled clinical trials (RCTs) in sporadic AD. The search was performed on Google Scholar, PubMed and ClinicalTrials.gov by applying Jadad score to evaluate the methodological quality of the reports. Studies were excluded if they scored &lt; 3 on Jadad scale or if they analyzed less than 200 sporadic AD patients. We followed PRISMA guidelines and DerSimonian-Laird random-effects model in R. Primary outcomes were cognitive: AD Assessment Scale-Cognitive Subscale (ADAS-Cog), Mini Mental State Examination (MMSE) and Clinical Dementia Rating Scale-sum of Boxes (CDR-SB). Secondary and tertiary outcomes included biomarkers of Aβ and tau pathology, adverse events, and performance on Alzheimer's Disease Cooperative Study - Activities of Daily Living Scale. The meta-analysis included 14,980 patients in 14 studies and four mAbs: Bapineuzumab, Aducanumab, Solanezumab and Lecanemab. The results of this study suggest that anti-Aβ mAbs statistically improved cognitive and biomarker outcomes, particularly Aducanumab and Lecanemab. However, while cognitive effects were of small effect sizes, these drugs considerably increased risk of side effects such as Amyloid Related Imaging Abnormalities (ARIA), especially in APOE-ε4 carriers. Meta-regression revealed that higher (better) baseline MMSE score was associated with improved ADAS Cog and CDR-SB. In order to improve reproducibility and update the analysis in the future, we developed AlzMeta.app, web-based application freely available at https://alzmetaapp.shinyapps.io/alzmeta/.","container-title":"Ageing Research Reviews","DOI":"10.1016/j.arr.2023.102012","ISSN":"1872-9649","journalAbbreviation":"Ageing Res Rev","language":"eng","note":"PMID: 37423541","page":"102012","source":"PubMed","title":"Efficacy and safety of anti-amyloid-β monoclonal antibodies in current Alzheimer's disease phase III clinical trials: A systematic review and interactive web app-based meta-analysis","title-short":"Efficacy and safety of anti-amyloid-β monoclonal antibodies in current Alzheimer's disease phase III clinical trials","volume":"90","author":[{"family":"Jeremic","given":"Danko"},{"family":"Navarro-López","given":"Juan D."},{"family":"Jiménez-Díaz","given":"Lydia"}],"issued":{"date-parts":[["2023",9]]}}}],"schema":"https://github.com/citation-style-language/schema/raw/master/csl-citation.json"} </w:instrText>
      </w:r>
      <w:r w:rsidR="009D6087" w:rsidRPr="005C429C">
        <w:rPr>
          <w:rFonts w:ascii="Times New Roman" w:hAnsi="Times New Roman" w:cs="Times New Roman"/>
        </w:rPr>
        <w:fldChar w:fldCharType="separate"/>
      </w:r>
      <w:r w:rsidR="008A4505" w:rsidRPr="005C429C">
        <w:rPr>
          <w:rFonts w:ascii="Times New Roman" w:hAnsi="Times New Roman" w:cs="Times New Roman"/>
          <w:kern w:val="0"/>
          <w:szCs w:val="24"/>
          <w:vertAlign w:val="superscript"/>
        </w:rPr>
        <w:t>8</w:t>
      </w:r>
      <w:r w:rsidR="009D6087" w:rsidRPr="005C429C">
        <w:rPr>
          <w:rFonts w:ascii="Times New Roman" w:hAnsi="Times New Roman" w:cs="Times New Roman"/>
        </w:rPr>
        <w:fldChar w:fldCharType="end"/>
      </w:r>
      <w:r w:rsidR="009D6087" w:rsidRPr="005C429C">
        <w:rPr>
          <w:rFonts w:ascii="Times New Roman" w:hAnsi="Times New Roman" w:cs="Times New Roman"/>
        </w:rPr>
        <w:t xml:space="preserve"> found</w:t>
      </w:r>
      <w:r w:rsidRPr="005C429C">
        <w:rPr>
          <w:rFonts w:ascii="Times New Roman" w:hAnsi="Times New Roman" w:cs="Times New Roman"/>
        </w:rPr>
        <w:t xml:space="preserve"> </w:t>
      </w:r>
      <w:r w:rsidR="009D6087" w:rsidRPr="005C429C">
        <w:rPr>
          <w:rFonts w:ascii="Times New Roman" w:hAnsi="Times New Roman" w:cs="Times New Roman"/>
        </w:rPr>
        <w:t xml:space="preserve">a positive effect of anti-Aβ drugs on ADAS-Cog, MMSE, and CDR-SOB. </w:t>
      </w:r>
      <w:r w:rsidRPr="005C429C">
        <w:rPr>
          <w:rFonts w:ascii="Times New Roman" w:hAnsi="Times New Roman" w:cs="Times New Roman"/>
        </w:rPr>
        <w:t xml:space="preserve">Richard </w:t>
      </w:r>
      <w:r w:rsidRPr="005C429C">
        <w:rPr>
          <w:rFonts w:ascii="Times New Roman" w:hAnsi="Times New Roman" w:cs="Times New Roman"/>
          <w:i/>
          <w:iCs/>
        </w:rPr>
        <w:t>et al.</w:t>
      </w:r>
      <w:r w:rsidRPr="005C429C">
        <w:rPr>
          <w:rFonts w:ascii="Times New Roman" w:hAnsi="Times New Roman" w:cs="Times New Roman"/>
        </w:rPr>
        <w:t xml:space="preserve"> </w:t>
      </w:r>
      <w:r w:rsidRPr="005C429C">
        <w:rPr>
          <w:rFonts w:ascii="Times New Roman" w:hAnsi="Times New Roman" w:cs="Times New Roman"/>
        </w:rPr>
        <w:fldChar w:fldCharType="begin"/>
      </w:r>
      <w:r w:rsidR="008A4505" w:rsidRPr="005C429C">
        <w:rPr>
          <w:rFonts w:ascii="Times New Roman" w:hAnsi="Times New Roman" w:cs="Times New Roman"/>
        </w:rPr>
        <w:instrText xml:space="preserve"> ADDIN ZOTERO_ITEM CSL_CITATION {"citationID":"GJU5o66N","properties":{"formattedCitation":"\\super 9\\nosupersub{}","plainCitation":"9","noteIndex":0},"citationItems":[{"id":44,"uris":["http://zotero.org/users/15061285/items/8EPE5Z7J"],"itemData":{"id":44,"type":"article-journal","abstract":"Numerous clinical trials of anti-amyloid beta (Aβ) immunotherapy in Alzheimer's disease have been performed. None of these have provided convincing evidence for beneficial effects. Using traditional frequentist meta-analysis, the conclusion is that there is absence of evidence for a therapeutic effect, with a point estimate effect size of 0.05 (95% confidence interval -0.00 to 0.10, P = .055). In addition, this non-significant effect equates to 0.4 points per year on the cognitive subscale of the Alzheimer's Disease Assessment Scale. This is well below the minimally clinically important difference. Bayesian meta-analysis of these trial data provides strong evidence of absence of a therapeutic effect, with a Bayes factor of 11.27 in favor of the null hypothesis, opposed to a Bayes factor of 0.09 in favor of a treatment effect. Bayesian analysis is particularly valuable in this context of repeatedly reported small, non-significant effect sizes in individual trials. Mechanisms other than removal of Aβ from the brain may be probed to slow progression of Alzheimer's disease.","container-title":"Alzheimer's &amp; Dementia: The Journal of the Alzheimer's Association","DOI":"10.1002/alz.12379","ISSN":"1552-5279","issue":"6","journalAbbreviation":"Alzheimers Dement","language":"eng","note":"PMID: 34057297\nPMCID: PMC8251763","page":"1051-1055","source":"PubMed","title":"Bayes analysis supports null hypothesis of anti-amyloid beta therapy in Alzheimer's disease","volume":"17","author":[{"family":"Richard","given":"Edo"},{"family":"Brok","given":"Melina G. H. E.","non-dropping-particle":"den"},{"family":"Gool","given":"Willem A.","non-dropping-particle":"van"}],"issued":{"date-parts":[["2021",6]]}}}],"schema":"https://github.com/citation-style-language/schema/raw/master/csl-citation.json"} </w:instrText>
      </w:r>
      <w:r w:rsidRPr="005C429C">
        <w:rPr>
          <w:rFonts w:ascii="Times New Roman" w:hAnsi="Times New Roman" w:cs="Times New Roman"/>
        </w:rPr>
        <w:fldChar w:fldCharType="separate"/>
      </w:r>
      <w:r w:rsidR="008A4505" w:rsidRPr="005C429C">
        <w:rPr>
          <w:rFonts w:ascii="Times New Roman" w:hAnsi="Times New Roman" w:cs="Times New Roman"/>
          <w:kern w:val="0"/>
          <w:szCs w:val="24"/>
          <w:vertAlign w:val="superscript"/>
        </w:rPr>
        <w:t>9</w:t>
      </w:r>
      <w:r w:rsidRPr="005C429C">
        <w:rPr>
          <w:rFonts w:ascii="Times New Roman" w:hAnsi="Times New Roman" w:cs="Times New Roman"/>
        </w:rPr>
        <w:fldChar w:fldCharType="end"/>
      </w:r>
      <w:r w:rsidRPr="005C429C">
        <w:rPr>
          <w:rFonts w:ascii="Times New Roman" w:hAnsi="Times New Roman" w:cs="Times New Roman"/>
        </w:rPr>
        <w:t xml:space="preserve"> found a lack of evidence of an effect on ADAS-Cog based on six trials. Fernandez </w:t>
      </w:r>
      <w:r w:rsidRPr="005C429C">
        <w:rPr>
          <w:rFonts w:ascii="Times New Roman" w:hAnsi="Times New Roman" w:cs="Times New Roman"/>
          <w:i/>
          <w:iCs/>
        </w:rPr>
        <w:t xml:space="preserve">et al. </w:t>
      </w:r>
      <w:r w:rsidRPr="005C429C">
        <w:rPr>
          <w:rFonts w:ascii="Times New Roman" w:hAnsi="Times New Roman" w:cs="Times New Roman"/>
          <w:i/>
          <w:iCs/>
        </w:rPr>
        <w:fldChar w:fldCharType="begin"/>
      </w:r>
      <w:r w:rsidR="008A4505" w:rsidRPr="005C429C">
        <w:rPr>
          <w:rFonts w:ascii="Times New Roman" w:hAnsi="Times New Roman" w:cs="Times New Roman"/>
          <w:i/>
          <w:iCs/>
        </w:rPr>
        <w:instrText xml:space="preserve"> ADDIN ZOTERO_ITEM CSL_CITATION {"citationID":"LoXGAdIW","properties":{"formattedCitation":"\\super 10\\nosupersub{}","plainCitation":"10","noteIndex":0},"citationItems":[{"id":113,"uris":["http://zotero.org/users/15061285/items/XBZ6CBVU"],"itemData":{"id":113,"type":"article-journal","abstract":"Background For the last 20 years, the amyloid-beta (Aβ) cascade hypothesis has been dominant in the research of disease-modifying therapeutics, with spent of financial and clinical resources in potential drugs targeting Aβ peptide production or clearance. (1) In this context, monoclonal antibodies targeting beta-amyloid (Aβ-mAbs) are being tested to reduce the amyloid burden in patients with Alzheimer’s Disease (AD). (2) However, the cognitive impact of Aβ-mAbs remains controversial. (3) We aim to evaluate the conflicting results of previous studies using a meta-analysis. Method We searched PubMed, Embase, and Cochrane databases, following until April 2021, using the search terms: ”Alzheimer's disease” OR ”dementia” cross-referenced with ”monoclonal antibodies”, considering the synonyms. Eligible articles were randomized clinical trials with Aβ-mAbs that reported cognitive outcomes. The cognitive function was assessed by Alzheimer’s Disease Assessment Scale (ADAS-cog) and Mini-Mental State-Exam (MMSE). We performed a meta-analysis comparing mAbs and placebo, considering a minimal significant clinical change of 3 points in ADAS-Cog and 2 points in MMSE. Result We found 12 eligible studies in 443 identified records, involving 6736 patients, mean age 71.4 ± 2. We found a small benefit in cognitive outcomes in patients treated with Aβ-mAbs: ADAS-Cog: mean difference (MD) = - 0.65; 95% CI (-1.05 to - 0.26); I² = 12%; (p = 0.001) and MMSE: MD = 0.40; 95% CI (0.18 to 0.63); I² = 10%; (p = 0.0004). The Funnel plot and Egger’s test did not show publication bias. MD was below the minimal clinically relevant change in both scales. Conclusion Aβ-mAbs may have a positive cognitive benefit in AD patients. However, the impact magnitude is small, not reaching minimal clinically relevant change for these scales. References: (1) Panza F, Lozupone M, Seripa D, Imbimbo BP. Amyloid-β immunotherapy for alzheimer disease: Is it now a long shot? Ann Neurol. 2019 Mar;85(3):303–15. (2) Liu J, Yang B, Ke J, Li W, Suen W-C. Antibody-Based Drugs and Approaches Against Amyloid-β Species for Alzheimer’s Disease Immunotherapy. Drugs Aging. 2016 Oct;33(10):685–97. (3) Panza F, Lozupone M, Logroscino G, Imbimbo BP. A critical appraisal of amyloid-β-targeting therapies for Alzheimer disease. Nat Rev Neurol. 2019 Feb;15(2):73–88.","container-title":"Alzheimer's &amp; Dementia","DOI":"10.1002/alz.057778","ISSN":"1552-5279","issue":"S9","language":"en","license":"© 2021 the Alzheimer's Association","note":"_eprint: https://onlinelibrary.wiley.com/doi/pdf/10.1002/alz.057778","page":"e057778","source":"Wiley Online Library","title":"Cognitive outcomes of anti-amyloid-β monoclonal antibodies in patients with Alzheimer's disease: A systematic review and meta-analysis of randomized controlled trials","title-short":"Cognitive outcomes of anti-amyloid-β monoclonal antibodies in patients with Alzheimer's disease","volume":"17","author":[{"family":"Fernandez","given":"Paulo Eduardo Lahoz"},{"family":"Silva","given":"Guilherme Diogo"}],"issued":{"date-parts":[["2021"]]}}}],"schema":"https://github.com/citation-style-language/schema/raw/master/csl-citation.json"} </w:instrText>
      </w:r>
      <w:r w:rsidRPr="005C429C">
        <w:rPr>
          <w:rFonts w:ascii="Times New Roman" w:hAnsi="Times New Roman" w:cs="Times New Roman"/>
          <w:i/>
          <w:iCs/>
        </w:rPr>
        <w:fldChar w:fldCharType="separate"/>
      </w:r>
      <w:r w:rsidR="008A4505" w:rsidRPr="005C429C">
        <w:rPr>
          <w:rFonts w:ascii="Times New Roman" w:hAnsi="Times New Roman" w:cs="Times New Roman"/>
          <w:kern w:val="0"/>
          <w:szCs w:val="24"/>
          <w:vertAlign w:val="superscript"/>
        </w:rPr>
        <w:t>10</w:t>
      </w:r>
      <w:r w:rsidRPr="005C429C">
        <w:rPr>
          <w:rFonts w:ascii="Times New Roman" w:hAnsi="Times New Roman" w:cs="Times New Roman"/>
          <w:i/>
          <w:iCs/>
        </w:rPr>
        <w:fldChar w:fldCharType="end"/>
      </w:r>
      <w:r w:rsidRPr="005C429C">
        <w:rPr>
          <w:rFonts w:ascii="Times New Roman" w:hAnsi="Times New Roman" w:cs="Times New Roman"/>
        </w:rPr>
        <w:t xml:space="preserve"> found a small but statistically significant effect on ADAS-Cog and MMSE based on 12 RCTs. Villain </w:t>
      </w:r>
      <w:r w:rsidRPr="005C429C">
        <w:rPr>
          <w:rFonts w:ascii="Times New Roman" w:hAnsi="Times New Roman" w:cs="Times New Roman"/>
          <w:i/>
          <w:iCs/>
        </w:rPr>
        <w:t>et al.</w:t>
      </w:r>
      <w:r w:rsidRPr="005C429C">
        <w:rPr>
          <w:rFonts w:ascii="Times New Roman" w:hAnsi="Times New Roman" w:cs="Times New Roman"/>
        </w:rPr>
        <w:t xml:space="preserve"> </w:t>
      </w:r>
      <w:r w:rsidRPr="005C429C">
        <w:rPr>
          <w:rFonts w:ascii="Times New Roman" w:hAnsi="Times New Roman" w:cs="Times New Roman"/>
        </w:rPr>
        <w:fldChar w:fldCharType="begin"/>
      </w:r>
      <w:r w:rsidR="008A4505" w:rsidRPr="005C429C">
        <w:rPr>
          <w:rFonts w:ascii="Times New Roman" w:hAnsi="Times New Roman" w:cs="Times New Roman"/>
        </w:rPr>
        <w:instrText xml:space="preserve"> ADDIN ZOTERO_ITEM CSL_CITATION {"citationID":"05459utG","properties":{"formattedCitation":"\\super 11\\nosupersub{}","plainCitation":"11","noteIndex":0},"citationItems":[{"id":133,"uris":["http://zotero.org/users/15061285/items/6RRZYPDW"],"itemData":{"id":133,"type":"article-journal","abstract":"In 2021, aducanumab, an immunotherapy targeting amyloid-β, was approved for Alzheimer's disease (AD) by the US Food and Drug Administration thanks to positive results on a putative biological surrogate marker. This approval has raised an unprecedented controversy. It was followed by a refusal of the European Medicine Agency, which does not allow the marketing of drugs solely on biological arguments and raised safety issues, and important US coverage limitations by the Centers for Medicare &amp; Medicaid Services. Two other anti-amyloid immunotherapies showed significant results regarding a clinical outcome in phase 2 trials, and five drugs are being studied in phase 3 trials. Compared to those tested in previous trials of the 2010s, the common feature and novelty of these anti-amyloid immunotherapies is their ability to induce a high clearance of amyloid load, as measured with positron emission tomography, in the brain of early-stage biomarker-proven AD patients. Here, we review the available evidence regarding efficacy and safety data and medico-economical aspects for high-clearance anti-amyloid immunotherapies. We also perform frequentist and Bayesian meta-analyses of the clinical efficacy and safety of the highest dose groups from the two aducanumab phase 3 trials and the donanemab and lecanemab phase 2 trials. When pooled together, the data from high-clearance anti-amyloid immunotherapies trials confirm a statistically significant clinical effect of these drugs on cognitive decline after 18 months (difference in cognitive decline measured with CDR-SB after 18 months between the high dose immunotherapy groups vs. placebo = -0.24 points; P=0.04, frequentist random-effect model), with results on ADAS-Cog being the most statistically robust. However, this effect remains below the previously established minimal clinically relevant values. In parallel, the drugs significantly increased the occurrence of amyloid-related imaging abnormalities-edema (ARIA-E: risk ratio=13.39; P&lt;0.0001), ARIA-hemorrhage (risk ratio=2.78; P=0.0002), and symptomatic and serious ARIA (7/1321=0.53% in the high dose groups versus 0/1446 in the placebo groups; risk ratio=6.44; P=0.04). The risk/benefit ratio of high-clearance immunotherapies in early AD is so far questionable after 18 months. Identifying subgroups of better responders, the perspective of combination therapies, and a longer follow-up may help improve their clinical relevance. Finally, the preliminary evidence from medico-economical analyses seems to indicate that the current cost of aducanumab in the US is not in reasonable alignment with its clinical benefits.","container-title":"Revue Neurologique","DOI":"10.1016/j.neurol.2022.06.012","ISSN":"0035-3787","issue":"10","journalAbbreviation":"Rev Neurol (Paris)","language":"eng","note":"PMID: 36184326","page":"1011-1030","source":"PubMed","title":"High-clearance anti-amyloid immunotherapies in Alzheimer's disease. Part 1: Meta-analysis and review of efficacy and safety data, and medico-economical aspects","title-short":"High-clearance anti-amyloid immunotherapies in Alzheimer's disease. Part 1","volume":"178","author":[{"family":"Villain","given":"N."},{"family":"Planche","given":"V."},{"family":"Levy","given":"R."}],"issued":{"date-parts":[["2022",12]]}}}],"schema":"https://github.com/citation-style-language/schema/raw/master/csl-citation.json"} </w:instrText>
      </w:r>
      <w:r w:rsidRPr="005C429C">
        <w:rPr>
          <w:rFonts w:ascii="Times New Roman" w:hAnsi="Times New Roman" w:cs="Times New Roman"/>
        </w:rPr>
        <w:fldChar w:fldCharType="separate"/>
      </w:r>
      <w:r w:rsidR="008A4505" w:rsidRPr="005C429C">
        <w:rPr>
          <w:rFonts w:ascii="Times New Roman" w:hAnsi="Times New Roman" w:cs="Times New Roman"/>
          <w:kern w:val="0"/>
          <w:szCs w:val="24"/>
          <w:vertAlign w:val="superscript"/>
        </w:rPr>
        <w:t>11</w:t>
      </w:r>
      <w:r w:rsidRPr="005C429C">
        <w:rPr>
          <w:rFonts w:ascii="Times New Roman" w:hAnsi="Times New Roman" w:cs="Times New Roman"/>
        </w:rPr>
        <w:fldChar w:fldCharType="end"/>
      </w:r>
      <w:r w:rsidRPr="005C429C">
        <w:rPr>
          <w:rFonts w:ascii="Times New Roman" w:hAnsi="Times New Roman" w:cs="Times New Roman"/>
        </w:rPr>
        <w:t xml:space="preserve"> found a statistically significant effect on ADAS-Cog and CDR-SOB based on evidence from 4 RCTs demonstrating high level of amyloid clearance, but no effect was found on MMSE. After conducting a Bayesian random effects meta-analysis, T</w:t>
      </w:r>
      <w:r w:rsidR="009D6087" w:rsidRPr="005C429C">
        <w:rPr>
          <w:rFonts w:ascii="Times New Roman" w:hAnsi="Times New Roman" w:cs="Times New Roman"/>
        </w:rPr>
        <w:t>e</w:t>
      </w:r>
      <w:r w:rsidRPr="005C429C">
        <w:rPr>
          <w:rFonts w:ascii="Times New Roman" w:hAnsi="Times New Roman" w:cs="Times New Roman"/>
        </w:rPr>
        <w:t xml:space="preserve">ipel </w:t>
      </w:r>
      <w:r w:rsidRPr="005C429C">
        <w:rPr>
          <w:rFonts w:ascii="Times New Roman" w:hAnsi="Times New Roman" w:cs="Times New Roman"/>
          <w:i/>
          <w:iCs/>
        </w:rPr>
        <w:t>et al.</w:t>
      </w:r>
      <w:r w:rsidRPr="005C429C">
        <w:rPr>
          <w:rFonts w:ascii="Times New Roman" w:hAnsi="Times New Roman" w:cs="Times New Roman"/>
        </w:rPr>
        <w:t xml:space="preserve"> </w:t>
      </w:r>
      <w:r w:rsidRPr="005C429C">
        <w:rPr>
          <w:rFonts w:ascii="Times New Roman" w:hAnsi="Times New Roman" w:cs="Times New Roman"/>
        </w:rPr>
        <w:fldChar w:fldCharType="begin"/>
      </w:r>
      <w:r w:rsidR="008A4505" w:rsidRPr="005C429C">
        <w:rPr>
          <w:rFonts w:ascii="Times New Roman" w:hAnsi="Times New Roman" w:cs="Times New Roman"/>
        </w:rPr>
        <w:instrText xml:space="preserve"> ADDIN ZOTERO_ITEM CSL_CITATION {"citationID":"PZoIIYpW","properties":{"formattedCitation":"\\super 12\\nosupersub{}","plainCitation":"12","noteIndex":0},"citationItems":[{"id":130,"uris":["http://zotero.org/users/15061285/items/CVZUEL3M"],"itemData":{"id":130,"type":"article-journal","abstract":"INTRODUCTION: Phase 3 trials using the anti-amyloid antibodies aducanumab, lecanemab, donanemab, and high-dose gantenerumab in prodromal and mild Alzheimer's disease dementia were heterogeneous in respect to statistical significance of effects. However, heterogeneity of results has not yet directly be quantified.\nMETHODS: We used Bayesian random effects meta-analysis to quantify evidence for or against a treatment effect, and assessed the size of the effect and its heterogeneity. Data were extracted from published studies where available and Web based data reports, assuming a Gaussian data generation process.\nRESULTS: We found moderate evidence in favor of a treatment effect (Bayes factor = 13.2). The effect was moderate to small with -0.33 (95% credible interval -0.54 to -0.10) points on the Clinical Dementia Rating - Sum of Boxes (CDR-SB) scale. The heterogeneity parameter was low to moderate with 0.21 (0.04 to 0.45) CDR-SB points.\nDISCUSSION: Heterogeneity across studies was moderate despite some trials reaching statistical significance, while others did not. This suggests that the negative aducanumab and gantenerumab trials are in full agreement with the expected effect sizes.","container-title":"Alzheimer's &amp; Dementia (New York, N. Y.)","DOI":"10.1002/trc2.12454","ISSN":"2352-8737","issue":"1","journalAbbreviation":"Alzheimers Dement (N Y)","language":"eng","note":"PMID: 38389855\nPMCID: PMC10883242","page":"e12454","source":"PubMed","title":"Bayesian meta-analysis of phase 3 results of aducanumab, lecanemab, donanemab, and high-dose gantenerumab in prodromal and mild Alzheimer's disease","volume":"10","author":[{"family":"Teipel","given":"Stefan J."},{"family":"Temp","given":"Anna G. M."},{"family":"Lutz","given":"Michael W."}],"issued":{"date-parts":[["2024"]]}}}],"schema":"https://github.com/citation-style-language/schema/raw/master/csl-citation.json"} </w:instrText>
      </w:r>
      <w:r w:rsidRPr="005C429C">
        <w:rPr>
          <w:rFonts w:ascii="Times New Roman" w:hAnsi="Times New Roman" w:cs="Times New Roman"/>
        </w:rPr>
        <w:fldChar w:fldCharType="separate"/>
      </w:r>
      <w:r w:rsidR="008A4505" w:rsidRPr="005C429C">
        <w:rPr>
          <w:rFonts w:ascii="Times New Roman" w:hAnsi="Times New Roman" w:cs="Times New Roman"/>
          <w:kern w:val="0"/>
          <w:szCs w:val="24"/>
          <w:vertAlign w:val="superscript"/>
        </w:rPr>
        <w:t>12</w:t>
      </w:r>
      <w:r w:rsidRPr="005C429C">
        <w:rPr>
          <w:rFonts w:ascii="Times New Roman" w:hAnsi="Times New Roman" w:cs="Times New Roman"/>
        </w:rPr>
        <w:fldChar w:fldCharType="end"/>
      </w:r>
      <w:r w:rsidRPr="005C429C">
        <w:rPr>
          <w:rFonts w:ascii="Times New Roman" w:hAnsi="Times New Roman" w:cs="Times New Roman"/>
        </w:rPr>
        <w:t xml:space="preserve"> found a moderate to small but statistically meaningful effect (with 95% credible intervals excluding zero) on CDR-SOB based on eight studies. </w:t>
      </w:r>
      <w:r w:rsidRPr="005C429C">
        <w:rPr>
          <w:rFonts w:ascii="Times New Roman" w:hAnsi="Times New Roman" w:cs="Times New Roman"/>
        </w:rPr>
        <w:lastRenderedPageBreak/>
        <w:t xml:space="preserve">Holdridge </w:t>
      </w:r>
      <w:r w:rsidRPr="005C429C">
        <w:rPr>
          <w:rFonts w:ascii="Times New Roman" w:hAnsi="Times New Roman" w:cs="Times New Roman"/>
          <w:i/>
          <w:iCs/>
        </w:rPr>
        <w:t>et al.</w:t>
      </w:r>
      <w:r w:rsidRPr="005C429C">
        <w:rPr>
          <w:rFonts w:ascii="Times New Roman" w:hAnsi="Times New Roman" w:cs="Times New Roman"/>
        </w:rPr>
        <w:t xml:space="preserve"> </w:t>
      </w:r>
      <w:r w:rsidRPr="005C429C">
        <w:rPr>
          <w:rFonts w:ascii="Times New Roman" w:hAnsi="Times New Roman" w:cs="Times New Roman"/>
        </w:rPr>
        <w:fldChar w:fldCharType="begin"/>
      </w:r>
      <w:r w:rsidR="008A4505" w:rsidRPr="005C429C">
        <w:rPr>
          <w:rFonts w:ascii="Times New Roman" w:hAnsi="Times New Roman" w:cs="Times New Roman"/>
        </w:rPr>
        <w:instrText xml:space="preserve"> ADDIN ZOTERO_ITEM CSL_CITATION {"citationID":"9q4ka94C","properties":{"formattedCitation":"\\super 13\\nosupersub{}","plainCitation":"13","noteIndex":0},"citationItems":[{"id":127,"uris":["http://zotero.org/users/15061285/items/25V8I3CS"],"itemData":{"id":127,"type":"article-journal","abstract":"INTRODUCTION: Solanezumab is a monoclonal antibody that binds to the mid-domain of soluble amyloid β peptide. This meta-analysis evaluated the effect of low-dose solanezumab on clinical progression in three phase 3 studies.\nMETHODS: The population comprised patients aged ≥55 years with Alzheimer's disease (AD) with mild dementia, randomized to 400 mg solanezumab or placebo every 4 weeks for 80 weeks. Frequentist mixed-model repeated-measures (MMRM) and Bayesian disease progression model (DPM) longitudinal analyses were conducted.\nRESULTS: Pooled MMRM analyses showed a statistically significant effect of solanezumab across cognitive and functional outcome measures. DPM results were generally consistent with MMRM results, ranging from 15% to 30% slowing of clinical progression.\nDISCUSSION: These analyses suggest low-dose solanezumab slows clinical progression of AD with mild dementia. The ongoing A4 solanezumab study in participants with preclinical AD will ascertain the effect of a higher dose of solanezumab in an earlier disease stage.\nHIGHLIGHTS: Individual EXPEDITION studies were negative but suggest low-dose solanezumab had an effect in slowing the clinical progression of Alzheimer's disease (AD) with mild dementia. At 80 weeks, mixed-model repeated-measures analyses showed numeric reductions in measures of clinical decline in solanezumab-treated arms compared with placebo across almost every outcome measure, and statistical significance in multiple outcome measures in each study. Pooled analyses suggest a high probability that low-dose solanezumab has at least some effect on slowing the clinical progression of AD with mild dementia. Across cognitive and functional outcome measures, estimates from disease progression model analyses range from 15% to 30% slowing of decline with low-dose solanezumab in AD with mild dementia.","container-title":"Alzheimer's &amp; Dementia: The Journal of the Alzheimer's Association","DOI":"10.1002/alz.13031","ISSN":"1552-5279","issue":"10","journalAbbreviation":"Alzheimers Dement","language":"eng","note":"PMID: 36946603","page":"4619-4628","source":"PubMed","title":"Targeting amyloid β in Alzheimer's disease: Meta-analysis of low-dose solanezumab in Alzheimer's disease with mild dementia studies","title-short":"Targeting amyloid β in Alzheimer's disease","volume":"19","author":[{"family":"Holdridge","given":"Karen C."},{"family":"Yaari","given":"Roy"},{"family":"Hoban","given":"Deirdre B."},{"family":"Andersen","given":"Scott"},{"family":"Sims","given":"John R."}],"issued":{"date-parts":[["2023",10]]}}}],"schema":"https://github.com/citation-style-language/schema/raw/master/csl-citation.json"} </w:instrText>
      </w:r>
      <w:r w:rsidRPr="005C429C">
        <w:rPr>
          <w:rFonts w:ascii="Times New Roman" w:hAnsi="Times New Roman" w:cs="Times New Roman"/>
        </w:rPr>
        <w:fldChar w:fldCharType="separate"/>
      </w:r>
      <w:r w:rsidR="008A4505" w:rsidRPr="005C429C">
        <w:rPr>
          <w:rFonts w:ascii="Times New Roman" w:hAnsi="Times New Roman" w:cs="Times New Roman"/>
          <w:kern w:val="0"/>
          <w:vertAlign w:val="superscript"/>
        </w:rPr>
        <w:t>13</w:t>
      </w:r>
      <w:r w:rsidRPr="005C429C">
        <w:rPr>
          <w:rFonts w:ascii="Times New Roman" w:hAnsi="Times New Roman" w:cs="Times New Roman"/>
        </w:rPr>
        <w:fldChar w:fldCharType="end"/>
      </w:r>
      <w:r w:rsidRPr="005C429C">
        <w:rPr>
          <w:rFonts w:ascii="Times New Roman" w:hAnsi="Times New Roman" w:cs="Times New Roman"/>
        </w:rPr>
        <w:t xml:space="preserve"> found a statistically significant effect across various functional outcome measures based solely on three phase III studies of solanezumab. </w:t>
      </w:r>
    </w:p>
    <w:p w14:paraId="4E197AAF" w14:textId="77777777" w:rsidR="00241C9A" w:rsidRPr="005C429C" w:rsidRDefault="00241C9A" w:rsidP="00DB55E9">
      <w:pPr>
        <w:jc w:val="both"/>
        <w:rPr>
          <w:rFonts w:ascii="Times New Roman" w:hAnsi="Times New Roman" w:cs="Times New Roman"/>
        </w:rPr>
      </w:pPr>
    </w:p>
    <w:p w14:paraId="039CAF6A" w14:textId="7E12D9A8" w:rsidR="00AF598C" w:rsidRPr="005C429C" w:rsidRDefault="00B63A86" w:rsidP="00B63A86">
      <w:pPr>
        <w:jc w:val="both"/>
        <w:rPr>
          <w:rFonts w:ascii="Times New Roman" w:hAnsi="Times New Roman" w:cs="Times New Roman"/>
        </w:rPr>
      </w:pPr>
      <w:r w:rsidRPr="005C429C">
        <w:rPr>
          <w:rFonts w:ascii="Times New Roman" w:hAnsi="Times New Roman" w:cs="Times New Roman"/>
        </w:rPr>
        <w:t>Table S1: Characteristics of included clinical trials</w:t>
      </w:r>
    </w:p>
    <w:tbl>
      <w:tblPr>
        <w:tblStyle w:val="TableGrid"/>
        <w:tblW w:w="8505" w:type="dxa"/>
        <w:tblLook w:val="04A0" w:firstRow="1" w:lastRow="0" w:firstColumn="1" w:lastColumn="0" w:noHBand="0" w:noVBand="1"/>
      </w:tblPr>
      <w:tblGrid>
        <w:gridCol w:w="987"/>
        <w:gridCol w:w="1001"/>
        <w:gridCol w:w="766"/>
        <w:gridCol w:w="786"/>
        <w:gridCol w:w="2158"/>
        <w:gridCol w:w="944"/>
        <w:gridCol w:w="1664"/>
        <w:gridCol w:w="710"/>
      </w:tblGrid>
      <w:tr w:rsidR="00241C9A" w:rsidRPr="005C429C" w14:paraId="5CB28CFD" w14:textId="77777777" w:rsidTr="008B293B">
        <w:trPr>
          <w:trHeight w:val="284"/>
        </w:trPr>
        <w:tc>
          <w:tcPr>
            <w:tcW w:w="542" w:type="pct"/>
            <w:noWrap/>
            <w:hideMark/>
          </w:tcPr>
          <w:p w14:paraId="7BAB0735" w14:textId="77777777" w:rsidR="00B63A86" w:rsidRPr="005C429C" w:rsidRDefault="00B63A86" w:rsidP="00B63A86">
            <w:pPr>
              <w:jc w:val="both"/>
              <w:rPr>
                <w:rFonts w:ascii="Times New Roman" w:hAnsi="Times New Roman" w:cs="Times New Roman"/>
                <w:b/>
                <w:bCs/>
              </w:rPr>
            </w:pPr>
            <w:r w:rsidRPr="005C429C">
              <w:rPr>
                <w:rFonts w:ascii="Times New Roman" w:hAnsi="Times New Roman" w:cs="Times New Roman"/>
                <w:b/>
                <w:bCs/>
              </w:rPr>
              <w:t>Study</w:t>
            </w:r>
          </w:p>
        </w:tc>
        <w:tc>
          <w:tcPr>
            <w:tcW w:w="551" w:type="pct"/>
            <w:noWrap/>
            <w:hideMark/>
          </w:tcPr>
          <w:p w14:paraId="6B408778" w14:textId="77777777" w:rsidR="00B63A86" w:rsidRPr="005C429C" w:rsidRDefault="00B63A86" w:rsidP="00B63A86">
            <w:pPr>
              <w:jc w:val="both"/>
              <w:rPr>
                <w:rFonts w:ascii="Times New Roman" w:hAnsi="Times New Roman" w:cs="Times New Roman"/>
                <w:b/>
                <w:bCs/>
              </w:rPr>
            </w:pPr>
            <w:r w:rsidRPr="005C429C">
              <w:rPr>
                <w:rFonts w:ascii="Times New Roman" w:hAnsi="Times New Roman" w:cs="Times New Roman"/>
                <w:b/>
                <w:bCs/>
              </w:rPr>
              <w:t>Registration number</w:t>
            </w:r>
          </w:p>
        </w:tc>
        <w:tc>
          <w:tcPr>
            <w:tcW w:w="396" w:type="pct"/>
            <w:noWrap/>
            <w:hideMark/>
          </w:tcPr>
          <w:p w14:paraId="2599F351" w14:textId="77777777" w:rsidR="00B63A86" w:rsidRPr="005C429C" w:rsidRDefault="00B63A86" w:rsidP="00B63A86">
            <w:pPr>
              <w:jc w:val="both"/>
              <w:rPr>
                <w:rFonts w:ascii="Times New Roman" w:hAnsi="Times New Roman" w:cs="Times New Roman"/>
                <w:b/>
                <w:bCs/>
              </w:rPr>
            </w:pPr>
            <w:r w:rsidRPr="005C429C">
              <w:rPr>
                <w:rFonts w:ascii="Times New Roman" w:hAnsi="Times New Roman" w:cs="Times New Roman"/>
                <w:b/>
                <w:bCs/>
              </w:rPr>
              <w:t>Drugs</w:t>
            </w:r>
          </w:p>
        </w:tc>
        <w:tc>
          <w:tcPr>
            <w:tcW w:w="421" w:type="pct"/>
            <w:noWrap/>
            <w:hideMark/>
          </w:tcPr>
          <w:p w14:paraId="1E18337C" w14:textId="77777777" w:rsidR="00B63A86" w:rsidRPr="005C429C" w:rsidRDefault="00B63A86" w:rsidP="00B63A86">
            <w:pPr>
              <w:jc w:val="both"/>
              <w:rPr>
                <w:rFonts w:ascii="Times New Roman" w:hAnsi="Times New Roman" w:cs="Times New Roman"/>
                <w:b/>
                <w:bCs/>
              </w:rPr>
            </w:pPr>
            <w:r w:rsidRPr="005C429C">
              <w:rPr>
                <w:rFonts w:ascii="Times New Roman" w:hAnsi="Times New Roman" w:cs="Times New Roman"/>
                <w:b/>
                <w:bCs/>
              </w:rPr>
              <w:t>Study duration</w:t>
            </w:r>
          </w:p>
        </w:tc>
        <w:tc>
          <w:tcPr>
            <w:tcW w:w="1248" w:type="pct"/>
            <w:noWrap/>
            <w:hideMark/>
          </w:tcPr>
          <w:p w14:paraId="217BD359" w14:textId="77777777" w:rsidR="00B63A86" w:rsidRPr="005C429C" w:rsidRDefault="00B63A86" w:rsidP="00B63A86">
            <w:pPr>
              <w:jc w:val="both"/>
              <w:rPr>
                <w:rFonts w:ascii="Times New Roman" w:hAnsi="Times New Roman" w:cs="Times New Roman"/>
                <w:b/>
                <w:bCs/>
              </w:rPr>
            </w:pPr>
            <w:r w:rsidRPr="005C429C">
              <w:rPr>
                <w:rFonts w:ascii="Times New Roman" w:hAnsi="Times New Roman" w:cs="Times New Roman"/>
                <w:b/>
                <w:bCs/>
              </w:rPr>
              <w:t>Dose</w:t>
            </w:r>
          </w:p>
        </w:tc>
        <w:tc>
          <w:tcPr>
            <w:tcW w:w="516" w:type="pct"/>
            <w:noWrap/>
            <w:hideMark/>
          </w:tcPr>
          <w:p w14:paraId="2667B2C2" w14:textId="77777777" w:rsidR="00B63A86" w:rsidRPr="005C429C" w:rsidRDefault="00B63A86" w:rsidP="00B63A86">
            <w:pPr>
              <w:jc w:val="both"/>
              <w:rPr>
                <w:rFonts w:ascii="Times New Roman" w:hAnsi="Times New Roman" w:cs="Times New Roman"/>
                <w:b/>
                <w:bCs/>
              </w:rPr>
            </w:pPr>
            <w:r w:rsidRPr="005C429C">
              <w:rPr>
                <w:rFonts w:ascii="Times New Roman" w:hAnsi="Times New Roman" w:cs="Times New Roman"/>
                <w:b/>
                <w:bCs/>
              </w:rPr>
              <w:t>Number of patients</w:t>
            </w:r>
          </w:p>
        </w:tc>
        <w:tc>
          <w:tcPr>
            <w:tcW w:w="950" w:type="pct"/>
            <w:noWrap/>
            <w:hideMark/>
          </w:tcPr>
          <w:p w14:paraId="73418381" w14:textId="77777777" w:rsidR="00B63A86" w:rsidRPr="005C429C" w:rsidRDefault="00B63A86" w:rsidP="00B63A86">
            <w:pPr>
              <w:jc w:val="both"/>
              <w:rPr>
                <w:rFonts w:ascii="Times New Roman" w:hAnsi="Times New Roman" w:cs="Times New Roman"/>
                <w:b/>
                <w:bCs/>
              </w:rPr>
            </w:pPr>
            <w:r w:rsidRPr="005C429C">
              <w:rPr>
                <w:rFonts w:ascii="Times New Roman" w:hAnsi="Times New Roman" w:cs="Times New Roman"/>
                <w:b/>
                <w:bCs/>
              </w:rPr>
              <w:t xml:space="preserve"> MCI due to AD or Prodromal AD (%)</w:t>
            </w:r>
          </w:p>
        </w:tc>
        <w:tc>
          <w:tcPr>
            <w:tcW w:w="375" w:type="pct"/>
            <w:noWrap/>
            <w:hideMark/>
          </w:tcPr>
          <w:p w14:paraId="335EF38F" w14:textId="77777777" w:rsidR="00B63A86" w:rsidRPr="005C429C" w:rsidRDefault="00B63A86" w:rsidP="00B63A86">
            <w:pPr>
              <w:jc w:val="both"/>
              <w:rPr>
                <w:rFonts w:ascii="Times New Roman" w:hAnsi="Times New Roman" w:cs="Times New Roman"/>
                <w:b/>
                <w:bCs/>
              </w:rPr>
            </w:pPr>
            <w:r w:rsidRPr="005C429C">
              <w:rPr>
                <w:rFonts w:ascii="Times New Roman" w:hAnsi="Times New Roman" w:cs="Times New Roman"/>
                <w:b/>
                <w:bCs/>
              </w:rPr>
              <w:t>Mild AD (%)</w:t>
            </w:r>
          </w:p>
        </w:tc>
      </w:tr>
      <w:tr w:rsidR="00241C9A" w:rsidRPr="005C429C" w14:paraId="5449A944" w14:textId="77777777" w:rsidTr="008B293B">
        <w:trPr>
          <w:trHeight w:val="284"/>
        </w:trPr>
        <w:tc>
          <w:tcPr>
            <w:tcW w:w="542" w:type="pct"/>
            <w:vMerge w:val="restart"/>
            <w:noWrap/>
            <w:hideMark/>
          </w:tcPr>
          <w:p w14:paraId="48D7B029" w14:textId="046E0D6F" w:rsidR="00FD60FD" w:rsidRPr="005C429C" w:rsidRDefault="00FD60FD" w:rsidP="00241C9A">
            <w:pPr>
              <w:jc w:val="both"/>
              <w:rPr>
                <w:rFonts w:ascii="Times New Roman" w:hAnsi="Times New Roman" w:cs="Times New Roman"/>
              </w:rPr>
            </w:pPr>
            <w:r w:rsidRPr="005C429C">
              <w:rPr>
                <w:rFonts w:ascii="Times New Roman" w:hAnsi="Times New Roman" w:cs="Times New Roman"/>
              </w:rPr>
              <w:t>EMERGE</w:t>
            </w:r>
          </w:p>
        </w:tc>
        <w:tc>
          <w:tcPr>
            <w:tcW w:w="551" w:type="pct"/>
            <w:vMerge w:val="restart"/>
            <w:noWrap/>
            <w:hideMark/>
          </w:tcPr>
          <w:p w14:paraId="15C6A6E0"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NCT02484547</w:t>
            </w:r>
          </w:p>
          <w:p w14:paraId="00FC96E7"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 </w:t>
            </w:r>
          </w:p>
          <w:p w14:paraId="158DDE1A" w14:textId="7535BFE1" w:rsidR="00FD60FD" w:rsidRPr="005C429C" w:rsidRDefault="00FD60FD" w:rsidP="00B63A86">
            <w:pPr>
              <w:jc w:val="both"/>
              <w:rPr>
                <w:rFonts w:ascii="Times New Roman" w:hAnsi="Times New Roman" w:cs="Times New Roman"/>
              </w:rPr>
            </w:pPr>
            <w:r w:rsidRPr="005C429C">
              <w:rPr>
                <w:rFonts w:ascii="Times New Roman" w:hAnsi="Times New Roman" w:cs="Times New Roman"/>
              </w:rPr>
              <w:t> </w:t>
            </w:r>
          </w:p>
        </w:tc>
        <w:tc>
          <w:tcPr>
            <w:tcW w:w="396" w:type="pct"/>
            <w:vMerge w:val="restart"/>
            <w:noWrap/>
            <w:hideMark/>
          </w:tcPr>
          <w:p w14:paraId="5A220AFB" w14:textId="02CDF4BF" w:rsidR="00FD60FD" w:rsidRPr="005C429C" w:rsidRDefault="00FD60FD" w:rsidP="00B63A86">
            <w:pPr>
              <w:jc w:val="both"/>
              <w:rPr>
                <w:rFonts w:ascii="Times New Roman" w:hAnsi="Times New Roman" w:cs="Times New Roman"/>
              </w:rPr>
            </w:pPr>
            <w:r w:rsidRPr="005C429C">
              <w:rPr>
                <w:rFonts w:ascii="Times New Roman" w:hAnsi="Times New Roman" w:cs="Times New Roman"/>
              </w:rPr>
              <w:t>Aducanumab</w:t>
            </w:r>
          </w:p>
          <w:p w14:paraId="7E8E50AD" w14:textId="670C2EAD" w:rsidR="00FD60FD" w:rsidRPr="005C429C" w:rsidRDefault="00FD60FD" w:rsidP="00B63A86">
            <w:pPr>
              <w:jc w:val="both"/>
              <w:rPr>
                <w:rFonts w:ascii="Times New Roman" w:hAnsi="Times New Roman" w:cs="Times New Roman"/>
              </w:rPr>
            </w:pPr>
            <w:r w:rsidRPr="005C429C">
              <w:rPr>
                <w:rFonts w:ascii="Times New Roman" w:hAnsi="Times New Roman" w:cs="Times New Roman"/>
              </w:rPr>
              <w:t> </w:t>
            </w:r>
          </w:p>
        </w:tc>
        <w:tc>
          <w:tcPr>
            <w:tcW w:w="421" w:type="pct"/>
            <w:vMerge w:val="restart"/>
            <w:noWrap/>
            <w:hideMark/>
          </w:tcPr>
          <w:p w14:paraId="5133513F"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76 weeks</w:t>
            </w:r>
          </w:p>
          <w:p w14:paraId="38C0D087"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 </w:t>
            </w:r>
          </w:p>
          <w:p w14:paraId="34B9F6C2" w14:textId="580CA16F" w:rsidR="00FD60FD" w:rsidRPr="005C429C" w:rsidRDefault="00FD60FD" w:rsidP="00B63A86">
            <w:pPr>
              <w:jc w:val="both"/>
              <w:rPr>
                <w:rFonts w:ascii="Times New Roman" w:hAnsi="Times New Roman" w:cs="Times New Roman"/>
              </w:rPr>
            </w:pPr>
            <w:r w:rsidRPr="005C429C">
              <w:rPr>
                <w:rFonts w:ascii="Times New Roman" w:hAnsi="Times New Roman" w:cs="Times New Roman"/>
              </w:rPr>
              <w:t> </w:t>
            </w:r>
          </w:p>
        </w:tc>
        <w:tc>
          <w:tcPr>
            <w:tcW w:w="1248" w:type="pct"/>
            <w:noWrap/>
            <w:hideMark/>
          </w:tcPr>
          <w:p w14:paraId="5D3C3855"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Placebo</w:t>
            </w:r>
          </w:p>
        </w:tc>
        <w:tc>
          <w:tcPr>
            <w:tcW w:w="516" w:type="pct"/>
            <w:noWrap/>
            <w:hideMark/>
          </w:tcPr>
          <w:p w14:paraId="6A49F622"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548</w:t>
            </w:r>
          </w:p>
        </w:tc>
        <w:tc>
          <w:tcPr>
            <w:tcW w:w="950" w:type="pct"/>
            <w:noWrap/>
            <w:hideMark/>
          </w:tcPr>
          <w:p w14:paraId="32746DB7"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81</w:t>
            </w:r>
          </w:p>
        </w:tc>
        <w:tc>
          <w:tcPr>
            <w:tcW w:w="375" w:type="pct"/>
            <w:noWrap/>
            <w:hideMark/>
          </w:tcPr>
          <w:p w14:paraId="37A1C685"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19</w:t>
            </w:r>
          </w:p>
        </w:tc>
      </w:tr>
      <w:tr w:rsidR="00241C9A" w:rsidRPr="005C429C" w14:paraId="5C4EA46F" w14:textId="77777777" w:rsidTr="008B293B">
        <w:trPr>
          <w:trHeight w:val="284"/>
        </w:trPr>
        <w:tc>
          <w:tcPr>
            <w:tcW w:w="542" w:type="pct"/>
            <w:vMerge/>
            <w:noWrap/>
            <w:hideMark/>
          </w:tcPr>
          <w:p w14:paraId="28EF8473" w14:textId="5F5CFAEE" w:rsidR="00FD60FD" w:rsidRPr="005C429C" w:rsidRDefault="00FD60FD" w:rsidP="00B63A86">
            <w:pPr>
              <w:jc w:val="both"/>
              <w:rPr>
                <w:rFonts w:ascii="Times New Roman" w:hAnsi="Times New Roman" w:cs="Times New Roman"/>
              </w:rPr>
            </w:pPr>
          </w:p>
        </w:tc>
        <w:tc>
          <w:tcPr>
            <w:tcW w:w="551" w:type="pct"/>
            <w:vMerge/>
            <w:noWrap/>
            <w:hideMark/>
          </w:tcPr>
          <w:p w14:paraId="07B8F517" w14:textId="098D88D2" w:rsidR="00FD60FD" w:rsidRPr="005C429C" w:rsidRDefault="00FD60FD" w:rsidP="00B63A86">
            <w:pPr>
              <w:jc w:val="both"/>
              <w:rPr>
                <w:rFonts w:ascii="Times New Roman" w:hAnsi="Times New Roman" w:cs="Times New Roman"/>
              </w:rPr>
            </w:pPr>
          </w:p>
        </w:tc>
        <w:tc>
          <w:tcPr>
            <w:tcW w:w="396" w:type="pct"/>
            <w:vMerge/>
            <w:noWrap/>
            <w:hideMark/>
          </w:tcPr>
          <w:p w14:paraId="5D9F2781" w14:textId="6E1EE6E4" w:rsidR="00FD60FD" w:rsidRPr="005C429C" w:rsidRDefault="00FD60FD" w:rsidP="00B63A86">
            <w:pPr>
              <w:jc w:val="both"/>
              <w:rPr>
                <w:rFonts w:ascii="Times New Roman" w:hAnsi="Times New Roman" w:cs="Times New Roman"/>
              </w:rPr>
            </w:pPr>
          </w:p>
        </w:tc>
        <w:tc>
          <w:tcPr>
            <w:tcW w:w="421" w:type="pct"/>
            <w:vMerge/>
            <w:noWrap/>
            <w:hideMark/>
          </w:tcPr>
          <w:p w14:paraId="3DBB69E3" w14:textId="22632947" w:rsidR="00FD60FD" w:rsidRPr="005C429C" w:rsidRDefault="00FD60FD" w:rsidP="00B63A86">
            <w:pPr>
              <w:jc w:val="both"/>
              <w:rPr>
                <w:rFonts w:ascii="Times New Roman" w:hAnsi="Times New Roman" w:cs="Times New Roman"/>
              </w:rPr>
            </w:pPr>
          </w:p>
        </w:tc>
        <w:tc>
          <w:tcPr>
            <w:tcW w:w="1248" w:type="pct"/>
            <w:noWrap/>
            <w:hideMark/>
          </w:tcPr>
          <w:p w14:paraId="59DA0420"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3mg/kg or 6mg/kg</w:t>
            </w:r>
          </w:p>
        </w:tc>
        <w:tc>
          <w:tcPr>
            <w:tcW w:w="516" w:type="pct"/>
            <w:noWrap/>
            <w:hideMark/>
          </w:tcPr>
          <w:p w14:paraId="1BDD3796"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543</w:t>
            </w:r>
          </w:p>
        </w:tc>
        <w:tc>
          <w:tcPr>
            <w:tcW w:w="950" w:type="pct"/>
            <w:noWrap/>
            <w:hideMark/>
          </w:tcPr>
          <w:p w14:paraId="10AA47EB"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83</w:t>
            </w:r>
          </w:p>
        </w:tc>
        <w:tc>
          <w:tcPr>
            <w:tcW w:w="375" w:type="pct"/>
            <w:noWrap/>
            <w:hideMark/>
          </w:tcPr>
          <w:p w14:paraId="6F95AE5A"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17</w:t>
            </w:r>
          </w:p>
        </w:tc>
      </w:tr>
      <w:tr w:rsidR="00241C9A" w:rsidRPr="005C429C" w14:paraId="352AE2D3" w14:textId="77777777" w:rsidTr="00241C9A">
        <w:trPr>
          <w:trHeight w:val="359"/>
        </w:trPr>
        <w:tc>
          <w:tcPr>
            <w:tcW w:w="542" w:type="pct"/>
            <w:vMerge/>
            <w:noWrap/>
            <w:hideMark/>
          </w:tcPr>
          <w:p w14:paraId="50072C56" w14:textId="05FFD973" w:rsidR="00FD60FD" w:rsidRPr="005C429C" w:rsidRDefault="00FD60FD" w:rsidP="00B63A86">
            <w:pPr>
              <w:jc w:val="both"/>
              <w:rPr>
                <w:rFonts w:ascii="Times New Roman" w:hAnsi="Times New Roman" w:cs="Times New Roman"/>
              </w:rPr>
            </w:pPr>
          </w:p>
        </w:tc>
        <w:tc>
          <w:tcPr>
            <w:tcW w:w="551" w:type="pct"/>
            <w:vMerge/>
            <w:noWrap/>
            <w:hideMark/>
          </w:tcPr>
          <w:p w14:paraId="3E3CBC4E" w14:textId="791F92C1" w:rsidR="00FD60FD" w:rsidRPr="005C429C" w:rsidRDefault="00FD60FD" w:rsidP="00B63A86">
            <w:pPr>
              <w:jc w:val="both"/>
              <w:rPr>
                <w:rFonts w:ascii="Times New Roman" w:hAnsi="Times New Roman" w:cs="Times New Roman"/>
              </w:rPr>
            </w:pPr>
          </w:p>
        </w:tc>
        <w:tc>
          <w:tcPr>
            <w:tcW w:w="396" w:type="pct"/>
            <w:vMerge/>
            <w:noWrap/>
            <w:hideMark/>
          </w:tcPr>
          <w:p w14:paraId="3B10C6BE" w14:textId="007DEAC1" w:rsidR="00FD60FD" w:rsidRPr="005C429C" w:rsidRDefault="00FD60FD" w:rsidP="00B63A86">
            <w:pPr>
              <w:jc w:val="both"/>
              <w:rPr>
                <w:rFonts w:ascii="Times New Roman" w:hAnsi="Times New Roman" w:cs="Times New Roman"/>
              </w:rPr>
            </w:pPr>
          </w:p>
        </w:tc>
        <w:tc>
          <w:tcPr>
            <w:tcW w:w="421" w:type="pct"/>
            <w:vMerge/>
            <w:noWrap/>
            <w:hideMark/>
          </w:tcPr>
          <w:p w14:paraId="0DA528AA" w14:textId="69A62457" w:rsidR="00FD60FD" w:rsidRPr="005C429C" w:rsidRDefault="00FD60FD" w:rsidP="00B63A86">
            <w:pPr>
              <w:jc w:val="both"/>
              <w:rPr>
                <w:rFonts w:ascii="Times New Roman" w:hAnsi="Times New Roman" w:cs="Times New Roman"/>
              </w:rPr>
            </w:pPr>
          </w:p>
        </w:tc>
        <w:tc>
          <w:tcPr>
            <w:tcW w:w="1248" w:type="pct"/>
            <w:noWrap/>
            <w:hideMark/>
          </w:tcPr>
          <w:p w14:paraId="1415B9BB"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6mg/kg or 10mg/kg</w:t>
            </w:r>
          </w:p>
        </w:tc>
        <w:tc>
          <w:tcPr>
            <w:tcW w:w="516" w:type="pct"/>
            <w:noWrap/>
            <w:hideMark/>
          </w:tcPr>
          <w:p w14:paraId="208308B6"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547</w:t>
            </w:r>
          </w:p>
        </w:tc>
        <w:tc>
          <w:tcPr>
            <w:tcW w:w="950" w:type="pct"/>
            <w:noWrap/>
            <w:hideMark/>
          </w:tcPr>
          <w:p w14:paraId="5DF1F66C"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80</w:t>
            </w:r>
          </w:p>
        </w:tc>
        <w:tc>
          <w:tcPr>
            <w:tcW w:w="375" w:type="pct"/>
            <w:noWrap/>
            <w:hideMark/>
          </w:tcPr>
          <w:p w14:paraId="268771F1"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20</w:t>
            </w:r>
          </w:p>
        </w:tc>
      </w:tr>
      <w:tr w:rsidR="00241C9A" w:rsidRPr="005C429C" w14:paraId="2D610486" w14:textId="77777777" w:rsidTr="008B293B">
        <w:trPr>
          <w:trHeight w:val="284"/>
        </w:trPr>
        <w:tc>
          <w:tcPr>
            <w:tcW w:w="542" w:type="pct"/>
            <w:vMerge w:val="restart"/>
            <w:noWrap/>
            <w:hideMark/>
          </w:tcPr>
          <w:p w14:paraId="4C86B8AC" w14:textId="0D1D50E2" w:rsidR="00FD60FD" w:rsidRPr="005C429C" w:rsidRDefault="00FD60FD" w:rsidP="00B63A86">
            <w:pPr>
              <w:jc w:val="both"/>
              <w:rPr>
                <w:rFonts w:ascii="Times New Roman" w:hAnsi="Times New Roman" w:cs="Times New Roman"/>
              </w:rPr>
            </w:pPr>
            <w:r w:rsidRPr="005C429C">
              <w:rPr>
                <w:rFonts w:ascii="Times New Roman" w:hAnsi="Times New Roman" w:cs="Times New Roman"/>
              </w:rPr>
              <w:t>ENGAGE </w:t>
            </w:r>
          </w:p>
          <w:p w14:paraId="494C7BF0" w14:textId="676771A7" w:rsidR="00FD60FD" w:rsidRPr="005C429C" w:rsidRDefault="00FD60FD" w:rsidP="00B63A86">
            <w:pPr>
              <w:jc w:val="both"/>
              <w:rPr>
                <w:rFonts w:ascii="Times New Roman" w:hAnsi="Times New Roman" w:cs="Times New Roman"/>
              </w:rPr>
            </w:pPr>
            <w:r w:rsidRPr="005C429C">
              <w:rPr>
                <w:rFonts w:ascii="Times New Roman" w:hAnsi="Times New Roman" w:cs="Times New Roman"/>
              </w:rPr>
              <w:t> </w:t>
            </w:r>
          </w:p>
        </w:tc>
        <w:tc>
          <w:tcPr>
            <w:tcW w:w="551" w:type="pct"/>
            <w:vMerge w:val="restart"/>
            <w:noWrap/>
            <w:hideMark/>
          </w:tcPr>
          <w:p w14:paraId="05A7C3E2"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NCT02477800</w:t>
            </w:r>
          </w:p>
          <w:p w14:paraId="10126F66"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 </w:t>
            </w:r>
          </w:p>
          <w:p w14:paraId="163B8460" w14:textId="2E485BAC" w:rsidR="00FD60FD" w:rsidRPr="005C429C" w:rsidRDefault="00FD60FD" w:rsidP="00B63A86">
            <w:pPr>
              <w:jc w:val="both"/>
              <w:rPr>
                <w:rFonts w:ascii="Times New Roman" w:hAnsi="Times New Roman" w:cs="Times New Roman"/>
              </w:rPr>
            </w:pPr>
            <w:r w:rsidRPr="005C429C">
              <w:rPr>
                <w:rFonts w:ascii="Times New Roman" w:hAnsi="Times New Roman" w:cs="Times New Roman"/>
              </w:rPr>
              <w:t> </w:t>
            </w:r>
          </w:p>
        </w:tc>
        <w:tc>
          <w:tcPr>
            <w:tcW w:w="396" w:type="pct"/>
            <w:vMerge w:val="restart"/>
            <w:noWrap/>
            <w:hideMark/>
          </w:tcPr>
          <w:p w14:paraId="30A2E749" w14:textId="66B41F49" w:rsidR="00FD60FD" w:rsidRPr="005C429C" w:rsidRDefault="00FD60FD" w:rsidP="00B63A86">
            <w:pPr>
              <w:jc w:val="both"/>
              <w:rPr>
                <w:rFonts w:ascii="Times New Roman" w:hAnsi="Times New Roman" w:cs="Times New Roman"/>
              </w:rPr>
            </w:pPr>
            <w:r w:rsidRPr="005C429C">
              <w:rPr>
                <w:rFonts w:ascii="Times New Roman" w:hAnsi="Times New Roman" w:cs="Times New Roman"/>
              </w:rPr>
              <w:t>Aducanumab</w:t>
            </w:r>
          </w:p>
          <w:p w14:paraId="045216B8" w14:textId="748F985C" w:rsidR="00FD60FD" w:rsidRPr="005C429C" w:rsidRDefault="00FD60FD" w:rsidP="00B63A86">
            <w:pPr>
              <w:jc w:val="both"/>
              <w:rPr>
                <w:rFonts w:ascii="Times New Roman" w:hAnsi="Times New Roman" w:cs="Times New Roman"/>
              </w:rPr>
            </w:pPr>
            <w:r w:rsidRPr="005C429C">
              <w:rPr>
                <w:rFonts w:ascii="Times New Roman" w:hAnsi="Times New Roman" w:cs="Times New Roman"/>
              </w:rPr>
              <w:t> </w:t>
            </w:r>
          </w:p>
        </w:tc>
        <w:tc>
          <w:tcPr>
            <w:tcW w:w="421" w:type="pct"/>
            <w:vMerge w:val="restart"/>
            <w:noWrap/>
            <w:hideMark/>
          </w:tcPr>
          <w:p w14:paraId="476644C4"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76 weeks</w:t>
            </w:r>
          </w:p>
          <w:p w14:paraId="3968F061"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 </w:t>
            </w:r>
          </w:p>
          <w:p w14:paraId="5C3E3B07" w14:textId="09DA7AE1" w:rsidR="00FD60FD" w:rsidRPr="005C429C" w:rsidRDefault="00FD60FD" w:rsidP="00B63A86">
            <w:pPr>
              <w:jc w:val="both"/>
              <w:rPr>
                <w:rFonts w:ascii="Times New Roman" w:hAnsi="Times New Roman" w:cs="Times New Roman"/>
              </w:rPr>
            </w:pPr>
            <w:r w:rsidRPr="005C429C">
              <w:rPr>
                <w:rFonts w:ascii="Times New Roman" w:hAnsi="Times New Roman" w:cs="Times New Roman"/>
              </w:rPr>
              <w:t> </w:t>
            </w:r>
          </w:p>
        </w:tc>
        <w:tc>
          <w:tcPr>
            <w:tcW w:w="1248" w:type="pct"/>
            <w:noWrap/>
            <w:hideMark/>
          </w:tcPr>
          <w:p w14:paraId="5A6B5F7F"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Placebo</w:t>
            </w:r>
          </w:p>
        </w:tc>
        <w:tc>
          <w:tcPr>
            <w:tcW w:w="516" w:type="pct"/>
            <w:noWrap/>
            <w:hideMark/>
          </w:tcPr>
          <w:p w14:paraId="643B70D0"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545</w:t>
            </w:r>
          </w:p>
        </w:tc>
        <w:tc>
          <w:tcPr>
            <w:tcW w:w="950" w:type="pct"/>
            <w:noWrap/>
            <w:hideMark/>
          </w:tcPr>
          <w:p w14:paraId="5763C80F"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81</w:t>
            </w:r>
          </w:p>
        </w:tc>
        <w:tc>
          <w:tcPr>
            <w:tcW w:w="375" w:type="pct"/>
            <w:noWrap/>
            <w:hideMark/>
          </w:tcPr>
          <w:p w14:paraId="29FEC1E4"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19</w:t>
            </w:r>
          </w:p>
        </w:tc>
      </w:tr>
      <w:tr w:rsidR="00241C9A" w:rsidRPr="005C429C" w14:paraId="4B24983D" w14:textId="77777777" w:rsidTr="008B293B">
        <w:trPr>
          <w:trHeight w:val="284"/>
        </w:trPr>
        <w:tc>
          <w:tcPr>
            <w:tcW w:w="542" w:type="pct"/>
            <w:vMerge/>
            <w:noWrap/>
            <w:hideMark/>
          </w:tcPr>
          <w:p w14:paraId="7DF74119" w14:textId="2AF93BE8" w:rsidR="00FD60FD" w:rsidRPr="005C429C" w:rsidRDefault="00FD60FD" w:rsidP="00B63A86">
            <w:pPr>
              <w:jc w:val="both"/>
              <w:rPr>
                <w:rFonts w:ascii="Times New Roman" w:hAnsi="Times New Roman" w:cs="Times New Roman"/>
              </w:rPr>
            </w:pPr>
          </w:p>
        </w:tc>
        <w:tc>
          <w:tcPr>
            <w:tcW w:w="551" w:type="pct"/>
            <w:vMerge/>
            <w:noWrap/>
            <w:hideMark/>
          </w:tcPr>
          <w:p w14:paraId="118953AC" w14:textId="2BDAD846" w:rsidR="00FD60FD" w:rsidRPr="005C429C" w:rsidRDefault="00FD60FD" w:rsidP="00B63A86">
            <w:pPr>
              <w:jc w:val="both"/>
              <w:rPr>
                <w:rFonts w:ascii="Times New Roman" w:hAnsi="Times New Roman" w:cs="Times New Roman"/>
              </w:rPr>
            </w:pPr>
          </w:p>
        </w:tc>
        <w:tc>
          <w:tcPr>
            <w:tcW w:w="396" w:type="pct"/>
            <w:vMerge/>
            <w:noWrap/>
            <w:hideMark/>
          </w:tcPr>
          <w:p w14:paraId="5C5B9D10" w14:textId="5A53547A" w:rsidR="00FD60FD" w:rsidRPr="005C429C" w:rsidRDefault="00FD60FD" w:rsidP="00B63A86">
            <w:pPr>
              <w:jc w:val="both"/>
              <w:rPr>
                <w:rFonts w:ascii="Times New Roman" w:hAnsi="Times New Roman" w:cs="Times New Roman"/>
              </w:rPr>
            </w:pPr>
          </w:p>
        </w:tc>
        <w:tc>
          <w:tcPr>
            <w:tcW w:w="421" w:type="pct"/>
            <w:vMerge/>
            <w:noWrap/>
            <w:hideMark/>
          </w:tcPr>
          <w:p w14:paraId="41A555C4" w14:textId="09D4E51D" w:rsidR="00FD60FD" w:rsidRPr="005C429C" w:rsidRDefault="00FD60FD" w:rsidP="00B63A86">
            <w:pPr>
              <w:jc w:val="both"/>
              <w:rPr>
                <w:rFonts w:ascii="Times New Roman" w:hAnsi="Times New Roman" w:cs="Times New Roman"/>
              </w:rPr>
            </w:pPr>
          </w:p>
        </w:tc>
        <w:tc>
          <w:tcPr>
            <w:tcW w:w="1248" w:type="pct"/>
            <w:noWrap/>
            <w:hideMark/>
          </w:tcPr>
          <w:p w14:paraId="7ED809B4"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3mg/kg or 6mg/kg</w:t>
            </w:r>
          </w:p>
        </w:tc>
        <w:tc>
          <w:tcPr>
            <w:tcW w:w="516" w:type="pct"/>
            <w:noWrap/>
            <w:hideMark/>
          </w:tcPr>
          <w:p w14:paraId="40F945DC"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547</w:t>
            </w:r>
          </w:p>
        </w:tc>
        <w:tc>
          <w:tcPr>
            <w:tcW w:w="950" w:type="pct"/>
            <w:noWrap/>
            <w:hideMark/>
          </w:tcPr>
          <w:p w14:paraId="35F9F259"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80</w:t>
            </w:r>
          </w:p>
        </w:tc>
        <w:tc>
          <w:tcPr>
            <w:tcW w:w="375" w:type="pct"/>
            <w:noWrap/>
            <w:hideMark/>
          </w:tcPr>
          <w:p w14:paraId="50D3099C"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20</w:t>
            </w:r>
          </w:p>
        </w:tc>
      </w:tr>
      <w:tr w:rsidR="00241C9A" w:rsidRPr="005C429C" w14:paraId="7A263E49" w14:textId="77777777" w:rsidTr="008B293B">
        <w:trPr>
          <w:trHeight w:val="284"/>
        </w:trPr>
        <w:tc>
          <w:tcPr>
            <w:tcW w:w="542" w:type="pct"/>
            <w:vMerge/>
            <w:noWrap/>
            <w:hideMark/>
          </w:tcPr>
          <w:p w14:paraId="55F12B95" w14:textId="0FFEA664" w:rsidR="00FD60FD" w:rsidRPr="005C429C" w:rsidRDefault="00FD60FD" w:rsidP="00B63A86">
            <w:pPr>
              <w:jc w:val="both"/>
              <w:rPr>
                <w:rFonts w:ascii="Times New Roman" w:hAnsi="Times New Roman" w:cs="Times New Roman"/>
              </w:rPr>
            </w:pPr>
          </w:p>
        </w:tc>
        <w:tc>
          <w:tcPr>
            <w:tcW w:w="551" w:type="pct"/>
            <w:vMerge/>
            <w:noWrap/>
            <w:hideMark/>
          </w:tcPr>
          <w:p w14:paraId="2021E1A7" w14:textId="63F90AAC" w:rsidR="00FD60FD" w:rsidRPr="005C429C" w:rsidRDefault="00FD60FD" w:rsidP="00B63A86">
            <w:pPr>
              <w:jc w:val="both"/>
              <w:rPr>
                <w:rFonts w:ascii="Times New Roman" w:hAnsi="Times New Roman" w:cs="Times New Roman"/>
              </w:rPr>
            </w:pPr>
          </w:p>
        </w:tc>
        <w:tc>
          <w:tcPr>
            <w:tcW w:w="396" w:type="pct"/>
            <w:vMerge/>
            <w:noWrap/>
            <w:hideMark/>
          </w:tcPr>
          <w:p w14:paraId="4EDA7412" w14:textId="1804F623" w:rsidR="00FD60FD" w:rsidRPr="005C429C" w:rsidRDefault="00FD60FD" w:rsidP="00B63A86">
            <w:pPr>
              <w:jc w:val="both"/>
              <w:rPr>
                <w:rFonts w:ascii="Times New Roman" w:hAnsi="Times New Roman" w:cs="Times New Roman"/>
              </w:rPr>
            </w:pPr>
          </w:p>
        </w:tc>
        <w:tc>
          <w:tcPr>
            <w:tcW w:w="421" w:type="pct"/>
            <w:vMerge/>
            <w:noWrap/>
            <w:hideMark/>
          </w:tcPr>
          <w:p w14:paraId="2DA3BD6B" w14:textId="5512DB24" w:rsidR="00FD60FD" w:rsidRPr="005C429C" w:rsidRDefault="00FD60FD" w:rsidP="00B63A86">
            <w:pPr>
              <w:jc w:val="both"/>
              <w:rPr>
                <w:rFonts w:ascii="Times New Roman" w:hAnsi="Times New Roman" w:cs="Times New Roman"/>
              </w:rPr>
            </w:pPr>
          </w:p>
        </w:tc>
        <w:tc>
          <w:tcPr>
            <w:tcW w:w="1248" w:type="pct"/>
            <w:noWrap/>
            <w:hideMark/>
          </w:tcPr>
          <w:p w14:paraId="7DA67467"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6mg/kg or 10mg/kg</w:t>
            </w:r>
          </w:p>
        </w:tc>
        <w:tc>
          <w:tcPr>
            <w:tcW w:w="516" w:type="pct"/>
            <w:noWrap/>
            <w:hideMark/>
          </w:tcPr>
          <w:p w14:paraId="75CC9F02"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555</w:t>
            </w:r>
          </w:p>
        </w:tc>
        <w:tc>
          <w:tcPr>
            <w:tcW w:w="950" w:type="pct"/>
            <w:noWrap/>
            <w:hideMark/>
          </w:tcPr>
          <w:p w14:paraId="45FCF8DA"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80</w:t>
            </w:r>
          </w:p>
        </w:tc>
        <w:tc>
          <w:tcPr>
            <w:tcW w:w="375" w:type="pct"/>
            <w:noWrap/>
            <w:hideMark/>
          </w:tcPr>
          <w:p w14:paraId="14E3970B"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20</w:t>
            </w:r>
          </w:p>
        </w:tc>
      </w:tr>
      <w:tr w:rsidR="00241C9A" w:rsidRPr="005C429C" w14:paraId="21B084DA" w14:textId="77777777" w:rsidTr="008B293B">
        <w:trPr>
          <w:trHeight w:val="284"/>
        </w:trPr>
        <w:tc>
          <w:tcPr>
            <w:tcW w:w="542" w:type="pct"/>
            <w:vMerge w:val="restart"/>
            <w:noWrap/>
            <w:hideMark/>
          </w:tcPr>
          <w:p w14:paraId="09F75407" w14:textId="3417B8E7" w:rsidR="00FD60FD" w:rsidRPr="005C429C" w:rsidRDefault="00FD60FD" w:rsidP="00B63A86">
            <w:pPr>
              <w:jc w:val="both"/>
              <w:rPr>
                <w:rFonts w:ascii="Times New Roman" w:hAnsi="Times New Roman" w:cs="Times New Roman"/>
              </w:rPr>
            </w:pPr>
            <w:r w:rsidRPr="005C429C">
              <w:rPr>
                <w:rFonts w:ascii="Times New Roman" w:hAnsi="Times New Roman" w:cs="Times New Roman"/>
              </w:rPr>
              <w:t>PRIME </w:t>
            </w:r>
          </w:p>
          <w:p w14:paraId="705F5493"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 </w:t>
            </w:r>
          </w:p>
          <w:p w14:paraId="143C88E9"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 </w:t>
            </w:r>
          </w:p>
          <w:p w14:paraId="715D0FB5"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 </w:t>
            </w:r>
          </w:p>
          <w:p w14:paraId="283066B0" w14:textId="1A309462" w:rsidR="00FD60FD" w:rsidRPr="005C429C" w:rsidRDefault="00FD60FD" w:rsidP="00B63A86">
            <w:pPr>
              <w:jc w:val="both"/>
              <w:rPr>
                <w:rFonts w:ascii="Times New Roman" w:hAnsi="Times New Roman" w:cs="Times New Roman"/>
              </w:rPr>
            </w:pPr>
            <w:r w:rsidRPr="005C429C">
              <w:rPr>
                <w:rFonts w:ascii="Times New Roman" w:hAnsi="Times New Roman" w:cs="Times New Roman"/>
              </w:rPr>
              <w:t> </w:t>
            </w:r>
          </w:p>
        </w:tc>
        <w:tc>
          <w:tcPr>
            <w:tcW w:w="551" w:type="pct"/>
            <w:vMerge w:val="restart"/>
            <w:noWrap/>
            <w:hideMark/>
          </w:tcPr>
          <w:p w14:paraId="53B413D2"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NCT01677572</w:t>
            </w:r>
          </w:p>
          <w:p w14:paraId="3E6935FB"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 </w:t>
            </w:r>
          </w:p>
          <w:p w14:paraId="6548BE17"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 </w:t>
            </w:r>
          </w:p>
          <w:p w14:paraId="32B16561"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 </w:t>
            </w:r>
          </w:p>
          <w:p w14:paraId="5A8AF8BA"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 </w:t>
            </w:r>
          </w:p>
          <w:p w14:paraId="63E044A1" w14:textId="2074E425" w:rsidR="00FD60FD" w:rsidRPr="005C429C" w:rsidRDefault="00FD60FD" w:rsidP="00B63A86">
            <w:pPr>
              <w:jc w:val="both"/>
              <w:rPr>
                <w:rFonts w:ascii="Times New Roman" w:hAnsi="Times New Roman" w:cs="Times New Roman"/>
              </w:rPr>
            </w:pPr>
            <w:r w:rsidRPr="005C429C">
              <w:rPr>
                <w:rFonts w:ascii="Times New Roman" w:hAnsi="Times New Roman" w:cs="Times New Roman"/>
              </w:rPr>
              <w:t> </w:t>
            </w:r>
          </w:p>
        </w:tc>
        <w:tc>
          <w:tcPr>
            <w:tcW w:w="396" w:type="pct"/>
            <w:vMerge w:val="restart"/>
            <w:noWrap/>
            <w:hideMark/>
          </w:tcPr>
          <w:p w14:paraId="14DFF812" w14:textId="3A07F464" w:rsidR="00FD60FD" w:rsidRPr="005C429C" w:rsidRDefault="00FD60FD" w:rsidP="00B63A86">
            <w:pPr>
              <w:jc w:val="both"/>
              <w:rPr>
                <w:rFonts w:ascii="Times New Roman" w:hAnsi="Times New Roman" w:cs="Times New Roman"/>
              </w:rPr>
            </w:pPr>
            <w:r w:rsidRPr="005C429C">
              <w:rPr>
                <w:rFonts w:ascii="Times New Roman" w:hAnsi="Times New Roman" w:cs="Times New Roman"/>
              </w:rPr>
              <w:t>Aducanumab</w:t>
            </w:r>
          </w:p>
          <w:p w14:paraId="6F3C94A4"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 </w:t>
            </w:r>
          </w:p>
          <w:p w14:paraId="021F4A13"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 </w:t>
            </w:r>
          </w:p>
          <w:p w14:paraId="2DB5B466" w14:textId="05695D00" w:rsidR="00FD60FD" w:rsidRPr="005C429C" w:rsidRDefault="00FD60FD" w:rsidP="00B63A86">
            <w:pPr>
              <w:jc w:val="both"/>
              <w:rPr>
                <w:rFonts w:ascii="Times New Roman" w:hAnsi="Times New Roman" w:cs="Times New Roman"/>
              </w:rPr>
            </w:pPr>
            <w:r w:rsidRPr="005C429C">
              <w:rPr>
                <w:rFonts w:ascii="Times New Roman" w:hAnsi="Times New Roman" w:cs="Times New Roman"/>
              </w:rPr>
              <w:t> </w:t>
            </w:r>
          </w:p>
        </w:tc>
        <w:tc>
          <w:tcPr>
            <w:tcW w:w="421" w:type="pct"/>
            <w:vMerge w:val="restart"/>
            <w:noWrap/>
            <w:hideMark/>
          </w:tcPr>
          <w:p w14:paraId="5BC2F14F"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54 weeks</w:t>
            </w:r>
          </w:p>
          <w:p w14:paraId="60B048B3"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 </w:t>
            </w:r>
          </w:p>
          <w:p w14:paraId="65E1F588"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 </w:t>
            </w:r>
          </w:p>
          <w:p w14:paraId="289561F0"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 </w:t>
            </w:r>
          </w:p>
          <w:p w14:paraId="05DAED83"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 </w:t>
            </w:r>
          </w:p>
          <w:p w14:paraId="2ED673B7" w14:textId="3AD66C58" w:rsidR="00FD60FD" w:rsidRPr="005C429C" w:rsidRDefault="00FD60FD" w:rsidP="00B63A86">
            <w:pPr>
              <w:jc w:val="both"/>
              <w:rPr>
                <w:rFonts w:ascii="Times New Roman" w:hAnsi="Times New Roman" w:cs="Times New Roman"/>
              </w:rPr>
            </w:pPr>
            <w:r w:rsidRPr="005C429C">
              <w:rPr>
                <w:rFonts w:ascii="Times New Roman" w:hAnsi="Times New Roman" w:cs="Times New Roman"/>
              </w:rPr>
              <w:t> </w:t>
            </w:r>
          </w:p>
        </w:tc>
        <w:tc>
          <w:tcPr>
            <w:tcW w:w="1248" w:type="pct"/>
            <w:noWrap/>
            <w:hideMark/>
          </w:tcPr>
          <w:p w14:paraId="7421F1F8"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Placebo</w:t>
            </w:r>
          </w:p>
        </w:tc>
        <w:tc>
          <w:tcPr>
            <w:tcW w:w="516" w:type="pct"/>
            <w:noWrap/>
            <w:hideMark/>
          </w:tcPr>
          <w:p w14:paraId="554CA3AA"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48</w:t>
            </w:r>
          </w:p>
        </w:tc>
        <w:tc>
          <w:tcPr>
            <w:tcW w:w="950" w:type="pct"/>
            <w:noWrap/>
            <w:hideMark/>
          </w:tcPr>
          <w:p w14:paraId="782F923D"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46</w:t>
            </w:r>
          </w:p>
        </w:tc>
        <w:tc>
          <w:tcPr>
            <w:tcW w:w="375" w:type="pct"/>
            <w:noWrap/>
            <w:hideMark/>
          </w:tcPr>
          <w:p w14:paraId="540A1410"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54</w:t>
            </w:r>
          </w:p>
        </w:tc>
      </w:tr>
      <w:tr w:rsidR="00241C9A" w:rsidRPr="005C429C" w14:paraId="677CE25F" w14:textId="77777777" w:rsidTr="008B293B">
        <w:trPr>
          <w:trHeight w:val="284"/>
        </w:trPr>
        <w:tc>
          <w:tcPr>
            <w:tcW w:w="542" w:type="pct"/>
            <w:vMerge/>
            <w:noWrap/>
            <w:hideMark/>
          </w:tcPr>
          <w:p w14:paraId="0BE56D46" w14:textId="4A1AEE9F" w:rsidR="00FD60FD" w:rsidRPr="005C429C" w:rsidRDefault="00FD60FD" w:rsidP="00B63A86">
            <w:pPr>
              <w:jc w:val="both"/>
              <w:rPr>
                <w:rFonts w:ascii="Times New Roman" w:hAnsi="Times New Roman" w:cs="Times New Roman"/>
              </w:rPr>
            </w:pPr>
          </w:p>
        </w:tc>
        <w:tc>
          <w:tcPr>
            <w:tcW w:w="551" w:type="pct"/>
            <w:vMerge/>
            <w:noWrap/>
            <w:hideMark/>
          </w:tcPr>
          <w:p w14:paraId="7B9DD43E" w14:textId="1FAD3AC3" w:rsidR="00FD60FD" w:rsidRPr="005C429C" w:rsidRDefault="00FD60FD" w:rsidP="00B63A86">
            <w:pPr>
              <w:jc w:val="both"/>
              <w:rPr>
                <w:rFonts w:ascii="Times New Roman" w:hAnsi="Times New Roman" w:cs="Times New Roman"/>
              </w:rPr>
            </w:pPr>
          </w:p>
        </w:tc>
        <w:tc>
          <w:tcPr>
            <w:tcW w:w="396" w:type="pct"/>
            <w:vMerge/>
            <w:noWrap/>
            <w:hideMark/>
          </w:tcPr>
          <w:p w14:paraId="70E4491A" w14:textId="356DF8A3" w:rsidR="00FD60FD" w:rsidRPr="005C429C" w:rsidRDefault="00FD60FD" w:rsidP="00B63A86">
            <w:pPr>
              <w:jc w:val="both"/>
              <w:rPr>
                <w:rFonts w:ascii="Times New Roman" w:hAnsi="Times New Roman" w:cs="Times New Roman"/>
              </w:rPr>
            </w:pPr>
          </w:p>
        </w:tc>
        <w:tc>
          <w:tcPr>
            <w:tcW w:w="421" w:type="pct"/>
            <w:vMerge/>
            <w:noWrap/>
            <w:hideMark/>
          </w:tcPr>
          <w:p w14:paraId="00D570F2" w14:textId="1943DEB1" w:rsidR="00FD60FD" w:rsidRPr="005C429C" w:rsidRDefault="00FD60FD" w:rsidP="00B63A86">
            <w:pPr>
              <w:jc w:val="both"/>
              <w:rPr>
                <w:rFonts w:ascii="Times New Roman" w:hAnsi="Times New Roman" w:cs="Times New Roman"/>
              </w:rPr>
            </w:pPr>
          </w:p>
        </w:tc>
        <w:tc>
          <w:tcPr>
            <w:tcW w:w="1248" w:type="pct"/>
            <w:noWrap/>
            <w:hideMark/>
          </w:tcPr>
          <w:p w14:paraId="175AA931"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1 mg/kg</w:t>
            </w:r>
          </w:p>
        </w:tc>
        <w:tc>
          <w:tcPr>
            <w:tcW w:w="516" w:type="pct"/>
            <w:noWrap/>
            <w:hideMark/>
          </w:tcPr>
          <w:p w14:paraId="0C1975E7"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31</w:t>
            </w:r>
          </w:p>
        </w:tc>
        <w:tc>
          <w:tcPr>
            <w:tcW w:w="950" w:type="pct"/>
            <w:noWrap/>
            <w:hideMark/>
          </w:tcPr>
          <w:p w14:paraId="47CCC744"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32</w:t>
            </w:r>
          </w:p>
        </w:tc>
        <w:tc>
          <w:tcPr>
            <w:tcW w:w="375" w:type="pct"/>
            <w:noWrap/>
            <w:hideMark/>
          </w:tcPr>
          <w:p w14:paraId="16056192"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68</w:t>
            </w:r>
          </w:p>
        </w:tc>
      </w:tr>
      <w:tr w:rsidR="00241C9A" w:rsidRPr="005C429C" w14:paraId="619E094C" w14:textId="77777777" w:rsidTr="008B293B">
        <w:trPr>
          <w:trHeight w:val="284"/>
        </w:trPr>
        <w:tc>
          <w:tcPr>
            <w:tcW w:w="542" w:type="pct"/>
            <w:vMerge/>
            <w:noWrap/>
            <w:hideMark/>
          </w:tcPr>
          <w:p w14:paraId="3D054987" w14:textId="7CB74321" w:rsidR="00FD60FD" w:rsidRPr="005C429C" w:rsidRDefault="00FD60FD" w:rsidP="00B63A86">
            <w:pPr>
              <w:jc w:val="both"/>
              <w:rPr>
                <w:rFonts w:ascii="Times New Roman" w:hAnsi="Times New Roman" w:cs="Times New Roman"/>
              </w:rPr>
            </w:pPr>
          </w:p>
        </w:tc>
        <w:tc>
          <w:tcPr>
            <w:tcW w:w="551" w:type="pct"/>
            <w:vMerge/>
            <w:noWrap/>
            <w:hideMark/>
          </w:tcPr>
          <w:p w14:paraId="0EE292EB" w14:textId="3BCF50BE" w:rsidR="00FD60FD" w:rsidRPr="005C429C" w:rsidRDefault="00FD60FD" w:rsidP="00B63A86">
            <w:pPr>
              <w:jc w:val="both"/>
              <w:rPr>
                <w:rFonts w:ascii="Times New Roman" w:hAnsi="Times New Roman" w:cs="Times New Roman"/>
              </w:rPr>
            </w:pPr>
          </w:p>
        </w:tc>
        <w:tc>
          <w:tcPr>
            <w:tcW w:w="396" w:type="pct"/>
            <w:vMerge/>
            <w:noWrap/>
            <w:hideMark/>
          </w:tcPr>
          <w:p w14:paraId="252AF0CD" w14:textId="0536182C" w:rsidR="00FD60FD" w:rsidRPr="005C429C" w:rsidRDefault="00FD60FD" w:rsidP="00B63A86">
            <w:pPr>
              <w:jc w:val="both"/>
              <w:rPr>
                <w:rFonts w:ascii="Times New Roman" w:hAnsi="Times New Roman" w:cs="Times New Roman"/>
              </w:rPr>
            </w:pPr>
          </w:p>
        </w:tc>
        <w:tc>
          <w:tcPr>
            <w:tcW w:w="421" w:type="pct"/>
            <w:vMerge/>
            <w:noWrap/>
            <w:hideMark/>
          </w:tcPr>
          <w:p w14:paraId="7B64C17C" w14:textId="1A9F632C" w:rsidR="00FD60FD" w:rsidRPr="005C429C" w:rsidRDefault="00FD60FD" w:rsidP="00B63A86">
            <w:pPr>
              <w:jc w:val="both"/>
              <w:rPr>
                <w:rFonts w:ascii="Times New Roman" w:hAnsi="Times New Roman" w:cs="Times New Roman"/>
              </w:rPr>
            </w:pPr>
          </w:p>
        </w:tc>
        <w:tc>
          <w:tcPr>
            <w:tcW w:w="1248" w:type="pct"/>
            <w:noWrap/>
            <w:hideMark/>
          </w:tcPr>
          <w:p w14:paraId="635FAA28"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3 mg/kg</w:t>
            </w:r>
          </w:p>
        </w:tc>
        <w:tc>
          <w:tcPr>
            <w:tcW w:w="516" w:type="pct"/>
            <w:noWrap/>
            <w:hideMark/>
          </w:tcPr>
          <w:p w14:paraId="680FA0F6"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32</w:t>
            </w:r>
          </w:p>
        </w:tc>
        <w:tc>
          <w:tcPr>
            <w:tcW w:w="950" w:type="pct"/>
            <w:noWrap/>
            <w:hideMark/>
          </w:tcPr>
          <w:p w14:paraId="3A9EF4CE"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44</w:t>
            </w:r>
          </w:p>
        </w:tc>
        <w:tc>
          <w:tcPr>
            <w:tcW w:w="375" w:type="pct"/>
            <w:noWrap/>
            <w:hideMark/>
          </w:tcPr>
          <w:p w14:paraId="7F224AD7"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56</w:t>
            </w:r>
          </w:p>
        </w:tc>
      </w:tr>
      <w:tr w:rsidR="00241C9A" w:rsidRPr="005C429C" w14:paraId="5FAEC555" w14:textId="77777777" w:rsidTr="008B293B">
        <w:trPr>
          <w:trHeight w:val="284"/>
        </w:trPr>
        <w:tc>
          <w:tcPr>
            <w:tcW w:w="542" w:type="pct"/>
            <w:vMerge/>
            <w:noWrap/>
            <w:hideMark/>
          </w:tcPr>
          <w:p w14:paraId="06D797BB" w14:textId="3C757C93" w:rsidR="00FD60FD" w:rsidRPr="005C429C" w:rsidRDefault="00FD60FD" w:rsidP="00B63A86">
            <w:pPr>
              <w:jc w:val="both"/>
              <w:rPr>
                <w:rFonts w:ascii="Times New Roman" w:hAnsi="Times New Roman" w:cs="Times New Roman"/>
              </w:rPr>
            </w:pPr>
          </w:p>
        </w:tc>
        <w:tc>
          <w:tcPr>
            <w:tcW w:w="551" w:type="pct"/>
            <w:vMerge/>
            <w:noWrap/>
            <w:hideMark/>
          </w:tcPr>
          <w:p w14:paraId="17E4A2B9" w14:textId="6847319E" w:rsidR="00FD60FD" w:rsidRPr="005C429C" w:rsidRDefault="00FD60FD" w:rsidP="00B63A86">
            <w:pPr>
              <w:jc w:val="both"/>
              <w:rPr>
                <w:rFonts w:ascii="Times New Roman" w:hAnsi="Times New Roman" w:cs="Times New Roman"/>
              </w:rPr>
            </w:pPr>
          </w:p>
        </w:tc>
        <w:tc>
          <w:tcPr>
            <w:tcW w:w="396" w:type="pct"/>
            <w:vMerge/>
            <w:noWrap/>
            <w:hideMark/>
          </w:tcPr>
          <w:p w14:paraId="3943591E" w14:textId="365892D9" w:rsidR="00FD60FD" w:rsidRPr="005C429C" w:rsidRDefault="00FD60FD" w:rsidP="00B63A86">
            <w:pPr>
              <w:jc w:val="both"/>
              <w:rPr>
                <w:rFonts w:ascii="Times New Roman" w:hAnsi="Times New Roman" w:cs="Times New Roman"/>
              </w:rPr>
            </w:pPr>
          </w:p>
        </w:tc>
        <w:tc>
          <w:tcPr>
            <w:tcW w:w="421" w:type="pct"/>
            <w:vMerge/>
            <w:noWrap/>
            <w:hideMark/>
          </w:tcPr>
          <w:p w14:paraId="67BE996E" w14:textId="122E0E69" w:rsidR="00FD60FD" w:rsidRPr="005C429C" w:rsidRDefault="00FD60FD" w:rsidP="00B63A86">
            <w:pPr>
              <w:jc w:val="both"/>
              <w:rPr>
                <w:rFonts w:ascii="Times New Roman" w:hAnsi="Times New Roman" w:cs="Times New Roman"/>
              </w:rPr>
            </w:pPr>
          </w:p>
        </w:tc>
        <w:tc>
          <w:tcPr>
            <w:tcW w:w="1248" w:type="pct"/>
            <w:noWrap/>
            <w:hideMark/>
          </w:tcPr>
          <w:p w14:paraId="16110062"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6 mg/kg</w:t>
            </w:r>
          </w:p>
        </w:tc>
        <w:tc>
          <w:tcPr>
            <w:tcW w:w="516" w:type="pct"/>
            <w:noWrap/>
            <w:hideMark/>
          </w:tcPr>
          <w:p w14:paraId="254866E7"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30</w:t>
            </w:r>
          </w:p>
        </w:tc>
        <w:tc>
          <w:tcPr>
            <w:tcW w:w="950" w:type="pct"/>
            <w:noWrap/>
            <w:hideMark/>
          </w:tcPr>
          <w:p w14:paraId="65A06157"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40</w:t>
            </w:r>
          </w:p>
        </w:tc>
        <w:tc>
          <w:tcPr>
            <w:tcW w:w="375" w:type="pct"/>
            <w:noWrap/>
            <w:hideMark/>
          </w:tcPr>
          <w:p w14:paraId="54C33400"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60</w:t>
            </w:r>
          </w:p>
        </w:tc>
      </w:tr>
      <w:tr w:rsidR="00241C9A" w:rsidRPr="005C429C" w14:paraId="181A2E9B" w14:textId="77777777" w:rsidTr="008B293B">
        <w:trPr>
          <w:trHeight w:val="284"/>
        </w:trPr>
        <w:tc>
          <w:tcPr>
            <w:tcW w:w="542" w:type="pct"/>
            <w:vMerge/>
            <w:noWrap/>
            <w:hideMark/>
          </w:tcPr>
          <w:p w14:paraId="4ED525D8" w14:textId="602C98E9" w:rsidR="00FD60FD" w:rsidRPr="005C429C" w:rsidRDefault="00FD60FD" w:rsidP="00B63A86">
            <w:pPr>
              <w:jc w:val="both"/>
              <w:rPr>
                <w:rFonts w:ascii="Times New Roman" w:hAnsi="Times New Roman" w:cs="Times New Roman"/>
              </w:rPr>
            </w:pPr>
          </w:p>
        </w:tc>
        <w:tc>
          <w:tcPr>
            <w:tcW w:w="551" w:type="pct"/>
            <w:vMerge/>
            <w:noWrap/>
            <w:hideMark/>
          </w:tcPr>
          <w:p w14:paraId="6219B2BF" w14:textId="2FEA1B75" w:rsidR="00FD60FD" w:rsidRPr="005C429C" w:rsidRDefault="00FD60FD" w:rsidP="00B63A86">
            <w:pPr>
              <w:jc w:val="both"/>
              <w:rPr>
                <w:rFonts w:ascii="Times New Roman" w:hAnsi="Times New Roman" w:cs="Times New Roman"/>
              </w:rPr>
            </w:pPr>
          </w:p>
        </w:tc>
        <w:tc>
          <w:tcPr>
            <w:tcW w:w="396" w:type="pct"/>
            <w:vMerge/>
            <w:noWrap/>
            <w:hideMark/>
          </w:tcPr>
          <w:p w14:paraId="0EEB3D14" w14:textId="20BB0860" w:rsidR="00FD60FD" w:rsidRPr="005C429C" w:rsidRDefault="00FD60FD" w:rsidP="00B63A86">
            <w:pPr>
              <w:jc w:val="both"/>
              <w:rPr>
                <w:rFonts w:ascii="Times New Roman" w:hAnsi="Times New Roman" w:cs="Times New Roman"/>
              </w:rPr>
            </w:pPr>
          </w:p>
        </w:tc>
        <w:tc>
          <w:tcPr>
            <w:tcW w:w="421" w:type="pct"/>
            <w:vMerge/>
            <w:noWrap/>
            <w:hideMark/>
          </w:tcPr>
          <w:p w14:paraId="7192ED1F" w14:textId="73049602" w:rsidR="00FD60FD" w:rsidRPr="005C429C" w:rsidRDefault="00FD60FD" w:rsidP="00B63A86">
            <w:pPr>
              <w:jc w:val="both"/>
              <w:rPr>
                <w:rFonts w:ascii="Times New Roman" w:hAnsi="Times New Roman" w:cs="Times New Roman"/>
              </w:rPr>
            </w:pPr>
          </w:p>
        </w:tc>
        <w:tc>
          <w:tcPr>
            <w:tcW w:w="1248" w:type="pct"/>
            <w:noWrap/>
            <w:hideMark/>
          </w:tcPr>
          <w:p w14:paraId="2C9FBBB1"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10 mg/kg</w:t>
            </w:r>
          </w:p>
        </w:tc>
        <w:tc>
          <w:tcPr>
            <w:tcW w:w="516" w:type="pct"/>
            <w:noWrap/>
            <w:hideMark/>
          </w:tcPr>
          <w:p w14:paraId="06F051D7"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32</w:t>
            </w:r>
          </w:p>
        </w:tc>
        <w:tc>
          <w:tcPr>
            <w:tcW w:w="950" w:type="pct"/>
            <w:noWrap/>
            <w:hideMark/>
          </w:tcPr>
          <w:p w14:paraId="4C806518"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41</w:t>
            </w:r>
          </w:p>
        </w:tc>
        <w:tc>
          <w:tcPr>
            <w:tcW w:w="375" w:type="pct"/>
            <w:noWrap/>
            <w:hideMark/>
          </w:tcPr>
          <w:p w14:paraId="74B32833"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59</w:t>
            </w:r>
          </w:p>
        </w:tc>
      </w:tr>
      <w:tr w:rsidR="00241C9A" w:rsidRPr="005C429C" w14:paraId="1C817C13" w14:textId="77777777" w:rsidTr="008B293B">
        <w:trPr>
          <w:trHeight w:val="284"/>
        </w:trPr>
        <w:tc>
          <w:tcPr>
            <w:tcW w:w="542" w:type="pct"/>
            <w:vMerge/>
            <w:noWrap/>
            <w:hideMark/>
          </w:tcPr>
          <w:p w14:paraId="3F7AB05F" w14:textId="33D36BFD" w:rsidR="00FD60FD" w:rsidRPr="005C429C" w:rsidRDefault="00FD60FD" w:rsidP="00B63A86">
            <w:pPr>
              <w:jc w:val="both"/>
              <w:rPr>
                <w:rFonts w:ascii="Times New Roman" w:hAnsi="Times New Roman" w:cs="Times New Roman"/>
              </w:rPr>
            </w:pPr>
          </w:p>
        </w:tc>
        <w:tc>
          <w:tcPr>
            <w:tcW w:w="551" w:type="pct"/>
            <w:vMerge/>
            <w:noWrap/>
            <w:hideMark/>
          </w:tcPr>
          <w:p w14:paraId="60CD11F7" w14:textId="15B0F435" w:rsidR="00FD60FD" w:rsidRPr="005C429C" w:rsidRDefault="00FD60FD" w:rsidP="00B63A86">
            <w:pPr>
              <w:jc w:val="both"/>
              <w:rPr>
                <w:rFonts w:ascii="Times New Roman" w:hAnsi="Times New Roman" w:cs="Times New Roman"/>
              </w:rPr>
            </w:pPr>
          </w:p>
        </w:tc>
        <w:tc>
          <w:tcPr>
            <w:tcW w:w="396" w:type="pct"/>
            <w:vMerge/>
            <w:noWrap/>
            <w:hideMark/>
          </w:tcPr>
          <w:p w14:paraId="36370853" w14:textId="3AB8C932" w:rsidR="00FD60FD" w:rsidRPr="005C429C" w:rsidRDefault="00FD60FD" w:rsidP="00B63A86">
            <w:pPr>
              <w:jc w:val="both"/>
              <w:rPr>
                <w:rFonts w:ascii="Times New Roman" w:hAnsi="Times New Roman" w:cs="Times New Roman"/>
              </w:rPr>
            </w:pPr>
          </w:p>
        </w:tc>
        <w:tc>
          <w:tcPr>
            <w:tcW w:w="421" w:type="pct"/>
            <w:vMerge/>
            <w:noWrap/>
            <w:hideMark/>
          </w:tcPr>
          <w:p w14:paraId="78471896" w14:textId="245D44A5" w:rsidR="00FD60FD" w:rsidRPr="005C429C" w:rsidRDefault="00FD60FD" w:rsidP="00B63A86">
            <w:pPr>
              <w:jc w:val="both"/>
              <w:rPr>
                <w:rFonts w:ascii="Times New Roman" w:hAnsi="Times New Roman" w:cs="Times New Roman"/>
              </w:rPr>
            </w:pPr>
          </w:p>
        </w:tc>
        <w:tc>
          <w:tcPr>
            <w:tcW w:w="1248" w:type="pct"/>
            <w:noWrap/>
            <w:hideMark/>
          </w:tcPr>
          <w:p w14:paraId="5A873AC9"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Titration</w:t>
            </w:r>
          </w:p>
        </w:tc>
        <w:tc>
          <w:tcPr>
            <w:tcW w:w="516" w:type="pct"/>
            <w:noWrap/>
            <w:hideMark/>
          </w:tcPr>
          <w:p w14:paraId="10E71A72"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23</w:t>
            </w:r>
          </w:p>
        </w:tc>
        <w:tc>
          <w:tcPr>
            <w:tcW w:w="950" w:type="pct"/>
            <w:noWrap/>
            <w:hideMark/>
          </w:tcPr>
          <w:p w14:paraId="0CEE50B3"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57</w:t>
            </w:r>
          </w:p>
        </w:tc>
        <w:tc>
          <w:tcPr>
            <w:tcW w:w="375" w:type="pct"/>
            <w:noWrap/>
            <w:hideMark/>
          </w:tcPr>
          <w:p w14:paraId="2D9A88DE"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43</w:t>
            </w:r>
          </w:p>
        </w:tc>
      </w:tr>
      <w:tr w:rsidR="00241C9A" w:rsidRPr="005C429C" w14:paraId="7C3A588F" w14:textId="77777777" w:rsidTr="008B293B">
        <w:trPr>
          <w:trHeight w:val="284"/>
        </w:trPr>
        <w:tc>
          <w:tcPr>
            <w:tcW w:w="542" w:type="pct"/>
            <w:vMerge w:val="restart"/>
            <w:noWrap/>
            <w:hideMark/>
          </w:tcPr>
          <w:p w14:paraId="2E81AD0F" w14:textId="1F58FE12" w:rsidR="00FD60FD" w:rsidRPr="005C429C" w:rsidRDefault="00FD60FD" w:rsidP="00241C9A">
            <w:pPr>
              <w:jc w:val="both"/>
              <w:rPr>
                <w:rFonts w:ascii="Times New Roman" w:hAnsi="Times New Roman" w:cs="Times New Roman"/>
              </w:rPr>
            </w:pPr>
            <w:r w:rsidRPr="005C429C">
              <w:rPr>
                <w:rFonts w:ascii="Times New Roman" w:hAnsi="Times New Roman" w:cs="Times New Roman"/>
              </w:rPr>
              <w:t>BAN2401-G000-201 </w:t>
            </w:r>
          </w:p>
        </w:tc>
        <w:tc>
          <w:tcPr>
            <w:tcW w:w="551" w:type="pct"/>
            <w:vMerge w:val="restart"/>
            <w:noWrap/>
            <w:hideMark/>
          </w:tcPr>
          <w:p w14:paraId="2C0BB583" w14:textId="027EB483" w:rsidR="00FD60FD" w:rsidRPr="005C429C" w:rsidRDefault="00FD60FD" w:rsidP="00B63A86">
            <w:pPr>
              <w:jc w:val="both"/>
              <w:rPr>
                <w:rFonts w:ascii="Times New Roman" w:hAnsi="Times New Roman" w:cs="Times New Roman"/>
              </w:rPr>
            </w:pPr>
            <w:r w:rsidRPr="005C429C">
              <w:rPr>
                <w:rFonts w:ascii="Times New Roman" w:hAnsi="Times New Roman" w:cs="Times New Roman"/>
              </w:rPr>
              <w:t>NCT01767311 </w:t>
            </w:r>
          </w:p>
          <w:p w14:paraId="583F3516"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 </w:t>
            </w:r>
          </w:p>
          <w:p w14:paraId="0BE4664F"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 </w:t>
            </w:r>
          </w:p>
          <w:p w14:paraId="5435ABF5"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 </w:t>
            </w:r>
          </w:p>
          <w:p w14:paraId="3FD8EF37" w14:textId="2A12A5E1" w:rsidR="00FD60FD" w:rsidRPr="005C429C" w:rsidRDefault="00FD60FD" w:rsidP="00B63A86">
            <w:pPr>
              <w:jc w:val="both"/>
              <w:rPr>
                <w:rFonts w:ascii="Times New Roman" w:hAnsi="Times New Roman" w:cs="Times New Roman"/>
              </w:rPr>
            </w:pPr>
            <w:r w:rsidRPr="005C429C">
              <w:rPr>
                <w:rFonts w:ascii="Times New Roman" w:hAnsi="Times New Roman" w:cs="Times New Roman"/>
              </w:rPr>
              <w:t> </w:t>
            </w:r>
          </w:p>
        </w:tc>
        <w:tc>
          <w:tcPr>
            <w:tcW w:w="396" w:type="pct"/>
            <w:vMerge w:val="restart"/>
            <w:noWrap/>
            <w:hideMark/>
          </w:tcPr>
          <w:p w14:paraId="66024FA9" w14:textId="3DEB2F34" w:rsidR="00FD60FD" w:rsidRPr="005C429C" w:rsidRDefault="00FD60FD" w:rsidP="00B63A86">
            <w:pPr>
              <w:jc w:val="both"/>
              <w:rPr>
                <w:rFonts w:ascii="Times New Roman" w:hAnsi="Times New Roman" w:cs="Times New Roman"/>
              </w:rPr>
            </w:pPr>
            <w:r w:rsidRPr="005C429C">
              <w:rPr>
                <w:rFonts w:ascii="Times New Roman" w:hAnsi="Times New Roman" w:cs="Times New Roman"/>
              </w:rPr>
              <w:t>Lecanemab </w:t>
            </w:r>
          </w:p>
          <w:p w14:paraId="01B6F8D0"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 </w:t>
            </w:r>
          </w:p>
          <w:p w14:paraId="6374050C"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 </w:t>
            </w:r>
          </w:p>
          <w:p w14:paraId="005DF7DC" w14:textId="74F2941F" w:rsidR="00FD60FD" w:rsidRPr="005C429C" w:rsidRDefault="00FD60FD" w:rsidP="00B63A86">
            <w:pPr>
              <w:jc w:val="both"/>
              <w:rPr>
                <w:rFonts w:ascii="Times New Roman" w:hAnsi="Times New Roman" w:cs="Times New Roman"/>
              </w:rPr>
            </w:pPr>
            <w:r w:rsidRPr="005C429C">
              <w:rPr>
                <w:rFonts w:ascii="Times New Roman" w:hAnsi="Times New Roman" w:cs="Times New Roman"/>
              </w:rPr>
              <w:t> </w:t>
            </w:r>
          </w:p>
        </w:tc>
        <w:tc>
          <w:tcPr>
            <w:tcW w:w="421" w:type="pct"/>
            <w:vMerge w:val="restart"/>
            <w:noWrap/>
            <w:hideMark/>
          </w:tcPr>
          <w:p w14:paraId="14EA04BB" w14:textId="0D06189E" w:rsidR="00FD60FD" w:rsidRPr="005C429C" w:rsidRDefault="00FD60FD" w:rsidP="00B63A86">
            <w:pPr>
              <w:jc w:val="both"/>
              <w:rPr>
                <w:rFonts w:ascii="Times New Roman" w:hAnsi="Times New Roman" w:cs="Times New Roman"/>
              </w:rPr>
            </w:pPr>
            <w:r w:rsidRPr="005C429C">
              <w:rPr>
                <w:rFonts w:ascii="Times New Roman" w:hAnsi="Times New Roman" w:cs="Times New Roman"/>
              </w:rPr>
              <w:t>18 months </w:t>
            </w:r>
          </w:p>
          <w:p w14:paraId="70C4265D"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 </w:t>
            </w:r>
          </w:p>
          <w:p w14:paraId="3000B2F9"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 </w:t>
            </w:r>
          </w:p>
          <w:p w14:paraId="25DED798"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 </w:t>
            </w:r>
          </w:p>
          <w:p w14:paraId="2FFA7576" w14:textId="7101B397" w:rsidR="00FD60FD" w:rsidRPr="005C429C" w:rsidRDefault="00FD60FD" w:rsidP="00B63A86">
            <w:pPr>
              <w:jc w:val="both"/>
              <w:rPr>
                <w:rFonts w:ascii="Times New Roman" w:hAnsi="Times New Roman" w:cs="Times New Roman"/>
              </w:rPr>
            </w:pPr>
            <w:r w:rsidRPr="005C429C">
              <w:rPr>
                <w:rFonts w:ascii="Times New Roman" w:hAnsi="Times New Roman" w:cs="Times New Roman"/>
              </w:rPr>
              <w:t> </w:t>
            </w:r>
          </w:p>
        </w:tc>
        <w:tc>
          <w:tcPr>
            <w:tcW w:w="1248" w:type="pct"/>
            <w:noWrap/>
            <w:hideMark/>
          </w:tcPr>
          <w:p w14:paraId="3678EEBC"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Placebo</w:t>
            </w:r>
          </w:p>
        </w:tc>
        <w:tc>
          <w:tcPr>
            <w:tcW w:w="516" w:type="pct"/>
            <w:noWrap/>
            <w:hideMark/>
          </w:tcPr>
          <w:p w14:paraId="586B735E"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238</w:t>
            </w:r>
          </w:p>
        </w:tc>
        <w:tc>
          <w:tcPr>
            <w:tcW w:w="950" w:type="pct"/>
            <w:noWrap/>
            <w:hideMark/>
          </w:tcPr>
          <w:p w14:paraId="2D35CB85"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65</w:t>
            </w:r>
          </w:p>
        </w:tc>
        <w:tc>
          <w:tcPr>
            <w:tcW w:w="375" w:type="pct"/>
            <w:noWrap/>
            <w:hideMark/>
          </w:tcPr>
          <w:p w14:paraId="03CD7627"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35</w:t>
            </w:r>
          </w:p>
        </w:tc>
      </w:tr>
      <w:tr w:rsidR="00241C9A" w:rsidRPr="005C429C" w14:paraId="46E66549" w14:textId="77777777" w:rsidTr="008B293B">
        <w:trPr>
          <w:trHeight w:val="284"/>
        </w:trPr>
        <w:tc>
          <w:tcPr>
            <w:tcW w:w="542" w:type="pct"/>
            <w:vMerge/>
            <w:noWrap/>
            <w:hideMark/>
          </w:tcPr>
          <w:p w14:paraId="65644E19" w14:textId="2929F1FF" w:rsidR="00FD60FD" w:rsidRPr="005C429C" w:rsidRDefault="00FD60FD" w:rsidP="00B63A86">
            <w:pPr>
              <w:jc w:val="both"/>
              <w:rPr>
                <w:rFonts w:ascii="Times New Roman" w:hAnsi="Times New Roman" w:cs="Times New Roman"/>
              </w:rPr>
            </w:pPr>
          </w:p>
        </w:tc>
        <w:tc>
          <w:tcPr>
            <w:tcW w:w="551" w:type="pct"/>
            <w:vMerge/>
            <w:noWrap/>
            <w:hideMark/>
          </w:tcPr>
          <w:p w14:paraId="54150181" w14:textId="5D40F85E" w:rsidR="00FD60FD" w:rsidRPr="005C429C" w:rsidRDefault="00FD60FD" w:rsidP="00B63A86">
            <w:pPr>
              <w:jc w:val="both"/>
              <w:rPr>
                <w:rFonts w:ascii="Times New Roman" w:hAnsi="Times New Roman" w:cs="Times New Roman"/>
              </w:rPr>
            </w:pPr>
          </w:p>
        </w:tc>
        <w:tc>
          <w:tcPr>
            <w:tcW w:w="396" w:type="pct"/>
            <w:vMerge/>
            <w:noWrap/>
            <w:hideMark/>
          </w:tcPr>
          <w:p w14:paraId="44E78555" w14:textId="7D9BE36A" w:rsidR="00FD60FD" w:rsidRPr="005C429C" w:rsidRDefault="00FD60FD" w:rsidP="00B63A86">
            <w:pPr>
              <w:jc w:val="both"/>
              <w:rPr>
                <w:rFonts w:ascii="Times New Roman" w:hAnsi="Times New Roman" w:cs="Times New Roman"/>
              </w:rPr>
            </w:pPr>
          </w:p>
        </w:tc>
        <w:tc>
          <w:tcPr>
            <w:tcW w:w="421" w:type="pct"/>
            <w:vMerge/>
            <w:noWrap/>
            <w:hideMark/>
          </w:tcPr>
          <w:p w14:paraId="00F2F50F" w14:textId="0D7F5337" w:rsidR="00FD60FD" w:rsidRPr="005C429C" w:rsidRDefault="00FD60FD" w:rsidP="00B63A86">
            <w:pPr>
              <w:jc w:val="both"/>
              <w:rPr>
                <w:rFonts w:ascii="Times New Roman" w:hAnsi="Times New Roman" w:cs="Times New Roman"/>
              </w:rPr>
            </w:pPr>
          </w:p>
        </w:tc>
        <w:tc>
          <w:tcPr>
            <w:tcW w:w="1248" w:type="pct"/>
            <w:noWrap/>
            <w:hideMark/>
          </w:tcPr>
          <w:p w14:paraId="03AFF880"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2.5 mg/kg biweekly</w:t>
            </w:r>
          </w:p>
        </w:tc>
        <w:tc>
          <w:tcPr>
            <w:tcW w:w="516" w:type="pct"/>
            <w:noWrap/>
            <w:hideMark/>
          </w:tcPr>
          <w:p w14:paraId="10DCF4E3"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52</w:t>
            </w:r>
          </w:p>
        </w:tc>
        <w:tc>
          <w:tcPr>
            <w:tcW w:w="950" w:type="pct"/>
            <w:noWrap/>
            <w:hideMark/>
          </w:tcPr>
          <w:p w14:paraId="07AB51C9"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65</w:t>
            </w:r>
          </w:p>
        </w:tc>
        <w:tc>
          <w:tcPr>
            <w:tcW w:w="375" w:type="pct"/>
            <w:noWrap/>
            <w:hideMark/>
          </w:tcPr>
          <w:p w14:paraId="526D51C2"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35</w:t>
            </w:r>
          </w:p>
        </w:tc>
      </w:tr>
      <w:tr w:rsidR="00241C9A" w:rsidRPr="005C429C" w14:paraId="345B1BA0" w14:textId="77777777" w:rsidTr="008B293B">
        <w:trPr>
          <w:trHeight w:val="284"/>
        </w:trPr>
        <w:tc>
          <w:tcPr>
            <w:tcW w:w="542" w:type="pct"/>
            <w:vMerge/>
            <w:noWrap/>
            <w:hideMark/>
          </w:tcPr>
          <w:p w14:paraId="0FC87D76" w14:textId="01AC9589" w:rsidR="00FD60FD" w:rsidRPr="005C429C" w:rsidRDefault="00FD60FD" w:rsidP="00B63A86">
            <w:pPr>
              <w:jc w:val="both"/>
              <w:rPr>
                <w:rFonts w:ascii="Times New Roman" w:hAnsi="Times New Roman" w:cs="Times New Roman"/>
              </w:rPr>
            </w:pPr>
          </w:p>
        </w:tc>
        <w:tc>
          <w:tcPr>
            <w:tcW w:w="551" w:type="pct"/>
            <w:vMerge/>
            <w:noWrap/>
            <w:hideMark/>
          </w:tcPr>
          <w:p w14:paraId="1981C67A" w14:textId="5D874FDF" w:rsidR="00FD60FD" w:rsidRPr="005C429C" w:rsidRDefault="00FD60FD" w:rsidP="00B63A86">
            <w:pPr>
              <w:jc w:val="both"/>
              <w:rPr>
                <w:rFonts w:ascii="Times New Roman" w:hAnsi="Times New Roman" w:cs="Times New Roman"/>
              </w:rPr>
            </w:pPr>
          </w:p>
        </w:tc>
        <w:tc>
          <w:tcPr>
            <w:tcW w:w="396" w:type="pct"/>
            <w:vMerge/>
            <w:noWrap/>
            <w:hideMark/>
          </w:tcPr>
          <w:p w14:paraId="22A7E90D" w14:textId="5F1519BA" w:rsidR="00FD60FD" w:rsidRPr="005C429C" w:rsidRDefault="00FD60FD" w:rsidP="00B63A86">
            <w:pPr>
              <w:jc w:val="both"/>
              <w:rPr>
                <w:rFonts w:ascii="Times New Roman" w:hAnsi="Times New Roman" w:cs="Times New Roman"/>
              </w:rPr>
            </w:pPr>
          </w:p>
        </w:tc>
        <w:tc>
          <w:tcPr>
            <w:tcW w:w="421" w:type="pct"/>
            <w:vMerge/>
            <w:noWrap/>
            <w:hideMark/>
          </w:tcPr>
          <w:p w14:paraId="1EA44A14" w14:textId="1F2E530D" w:rsidR="00FD60FD" w:rsidRPr="005C429C" w:rsidRDefault="00FD60FD" w:rsidP="00B63A86">
            <w:pPr>
              <w:jc w:val="both"/>
              <w:rPr>
                <w:rFonts w:ascii="Times New Roman" w:hAnsi="Times New Roman" w:cs="Times New Roman"/>
              </w:rPr>
            </w:pPr>
          </w:p>
        </w:tc>
        <w:tc>
          <w:tcPr>
            <w:tcW w:w="1248" w:type="pct"/>
            <w:noWrap/>
            <w:hideMark/>
          </w:tcPr>
          <w:p w14:paraId="1FBA9724"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5 mg/kg monthly</w:t>
            </w:r>
          </w:p>
        </w:tc>
        <w:tc>
          <w:tcPr>
            <w:tcW w:w="516" w:type="pct"/>
            <w:noWrap/>
            <w:hideMark/>
          </w:tcPr>
          <w:p w14:paraId="54450A8E"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48</w:t>
            </w:r>
          </w:p>
        </w:tc>
        <w:tc>
          <w:tcPr>
            <w:tcW w:w="950" w:type="pct"/>
            <w:noWrap/>
            <w:hideMark/>
          </w:tcPr>
          <w:p w14:paraId="77B2D88D"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69</w:t>
            </w:r>
          </w:p>
        </w:tc>
        <w:tc>
          <w:tcPr>
            <w:tcW w:w="375" w:type="pct"/>
            <w:noWrap/>
            <w:hideMark/>
          </w:tcPr>
          <w:p w14:paraId="232A99CD"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31</w:t>
            </w:r>
          </w:p>
        </w:tc>
      </w:tr>
      <w:tr w:rsidR="00241C9A" w:rsidRPr="005C429C" w14:paraId="00776C94" w14:textId="77777777" w:rsidTr="008B293B">
        <w:trPr>
          <w:trHeight w:val="284"/>
        </w:trPr>
        <w:tc>
          <w:tcPr>
            <w:tcW w:w="542" w:type="pct"/>
            <w:vMerge/>
            <w:noWrap/>
            <w:hideMark/>
          </w:tcPr>
          <w:p w14:paraId="263F8DE9" w14:textId="20A34982" w:rsidR="00FD60FD" w:rsidRPr="005C429C" w:rsidRDefault="00FD60FD" w:rsidP="00B63A86">
            <w:pPr>
              <w:jc w:val="both"/>
              <w:rPr>
                <w:rFonts w:ascii="Times New Roman" w:hAnsi="Times New Roman" w:cs="Times New Roman"/>
              </w:rPr>
            </w:pPr>
          </w:p>
        </w:tc>
        <w:tc>
          <w:tcPr>
            <w:tcW w:w="551" w:type="pct"/>
            <w:vMerge/>
            <w:noWrap/>
            <w:hideMark/>
          </w:tcPr>
          <w:p w14:paraId="6F33F3BE" w14:textId="57EA79E8" w:rsidR="00FD60FD" w:rsidRPr="005C429C" w:rsidRDefault="00FD60FD" w:rsidP="00B63A86">
            <w:pPr>
              <w:jc w:val="both"/>
              <w:rPr>
                <w:rFonts w:ascii="Times New Roman" w:hAnsi="Times New Roman" w:cs="Times New Roman"/>
              </w:rPr>
            </w:pPr>
          </w:p>
        </w:tc>
        <w:tc>
          <w:tcPr>
            <w:tcW w:w="396" w:type="pct"/>
            <w:vMerge/>
            <w:noWrap/>
            <w:hideMark/>
          </w:tcPr>
          <w:p w14:paraId="371AA088" w14:textId="11CA9E4D" w:rsidR="00FD60FD" w:rsidRPr="005C429C" w:rsidRDefault="00FD60FD" w:rsidP="00B63A86">
            <w:pPr>
              <w:jc w:val="both"/>
              <w:rPr>
                <w:rFonts w:ascii="Times New Roman" w:hAnsi="Times New Roman" w:cs="Times New Roman"/>
              </w:rPr>
            </w:pPr>
          </w:p>
        </w:tc>
        <w:tc>
          <w:tcPr>
            <w:tcW w:w="421" w:type="pct"/>
            <w:vMerge/>
            <w:noWrap/>
            <w:hideMark/>
          </w:tcPr>
          <w:p w14:paraId="138D5973" w14:textId="1A75F30E" w:rsidR="00FD60FD" w:rsidRPr="005C429C" w:rsidRDefault="00FD60FD" w:rsidP="00B63A86">
            <w:pPr>
              <w:jc w:val="both"/>
              <w:rPr>
                <w:rFonts w:ascii="Times New Roman" w:hAnsi="Times New Roman" w:cs="Times New Roman"/>
              </w:rPr>
            </w:pPr>
          </w:p>
        </w:tc>
        <w:tc>
          <w:tcPr>
            <w:tcW w:w="1248" w:type="pct"/>
            <w:noWrap/>
            <w:hideMark/>
          </w:tcPr>
          <w:p w14:paraId="30AD54AA"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5 mg/kg biweekly</w:t>
            </w:r>
          </w:p>
        </w:tc>
        <w:tc>
          <w:tcPr>
            <w:tcW w:w="516" w:type="pct"/>
            <w:noWrap/>
            <w:hideMark/>
          </w:tcPr>
          <w:p w14:paraId="0495C6F7"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89</w:t>
            </w:r>
          </w:p>
        </w:tc>
        <w:tc>
          <w:tcPr>
            <w:tcW w:w="950" w:type="pct"/>
            <w:noWrap/>
            <w:hideMark/>
          </w:tcPr>
          <w:p w14:paraId="00FEB6F8"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58</w:t>
            </w:r>
          </w:p>
        </w:tc>
        <w:tc>
          <w:tcPr>
            <w:tcW w:w="375" w:type="pct"/>
            <w:noWrap/>
            <w:hideMark/>
          </w:tcPr>
          <w:p w14:paraId="46BDF547"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42</w:t>
            </w:r>
          </w:p>
        </w:tc>
      </w:tr>
      <w:tr w:rsidR="00241C9A" w:rsidRPr="005C429C" w14:paraId="44394F28" w14:textId="77777777" w:rsidTr="008B293B">
        <w:trPr>
          <w:trHeight w:val="284"/>
        </w:trPr>
        <w:tc>
          <w:tcPr>
            <w:tcW w:w="542" w:type="pct"/>
            <w:vMerge/>
            <w:noWrap/>
            <w:hideMark/>
          </w:tcPr>
          <w:p w14:paraId="008D2929" w14:textId="5CBDB763" w:rsidR="00FD60FD" w:rsidRPr="005C429C" w:rsidRDefault="00FD60FD" w:rsidP="00B63A86">
            <w:pPr>
              <w:jc w:val="both"/>
              <w:rPr>
                <w:rFonts w:ascii="Times New Roman" w:hAnsi="Times New Roman" w:cs="Times New Roman"/>
              </w:rPr>
            </w:pPr>
          </w:p>
        </w:tc>
        <w:tc>
          <w:tcPr>
            <w:tcW w:w="551" w:type="pct"/>
            <w:vMerge/>
            <w:noWrap/>
            <w:hideMark/>
          </w:tcPr>
          <w:p w14:paraId="4270B0A2" w14:textId="455270AE" w:rsidR="00FD60FD" w:rsidRPr="005C429C" w:rsidRDefault="00FD60FD" w:rsidP="00B63A86">
            <w:pPr>
              <w:jc w:val="both"/>
              <w:rPr>
                <w:rFonts w:ascii="Times New Roman" w:hAnsi="Times New Roman" w:cs="Times New Roman"/>
              </w:rPr>
            </w:pPr>
          </w:p>
        </w:tc>
        <w:tc>
          <w:tcPr>
            <w:tcW w:w="396" w:type="pct"/>
            <w:vMerge/>
            <w:noWrap/>
            <w:hideMark/>
          </w:tcPr>
          <w:p w14:paraId="783518AA" w14:textId="3C3D982F" w:rsidR="00FD60FD" w:rsidRPr="005C429C" w:rsidRDefault="00FD60FD" w:rsidP="00B63A86">
            <w:pPr>
              <w:jc w:val="both"/>
              <w:rPr>
                <w:rFonts w:ascii="Times New Roman" w:hAnsi="Times New Roman" w:cs="Times New Roman"/>
              </w:rPr>
            </w:pPr>
          </w:p>
        </w:tc>
        <w:tc>
          <w:tcPr>
            <w:tcW w:w="421" w:type="pct"/>
            <w:vMerge/>
            <w:noWrap/>
            <w:hideMark/>
          </w:tcPr>
          <w:p w14:paraId="2800333C" w14:textId="35754C4D" w:rsidR="00FD60FD" w:rsidRPr="005C429C" w:rsidRDefault="00FD60FD" w:rsidP="00B63A86">
            <w:pPr>
              <w:jc w:val="both"/>
              <w:rPr>
                <w:rFonts w:ascii="Times New Roman" w:hAnsi="Times New Roman" w:cs="Times New Roman"/>
              </w:rPr>
            </w:pPr>
          </w:p>
        </w:tc>
        <w:tc>
          <w:tcPr>
            <w:tcW w:w="1248" w:type="pct"/>
            <w:noWrap/>
            <w:hideMark/>
          </w:tcPr>
          <w:p w14:paraId="2ABA59D8"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10 mg/kg monthly</w:t>
            </w:r>
          </w:p>
        </w:tc>
        <w:tc>
          <w:tcPr>
            <w:tcW w:w="516" w:type="pct"/>
            <w:noWrap/>
            <w:hideMark/>
          </w:tcPr>
          <w:p w14:paraId="4A156D2A"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246</w:t>
            </w:r>
          </w:p>
        </w:tc>
        <w:tc>
          <w:tcPr>
            <w:tcW w:w="950" w:type="pct"/>
            <w:noWrap/>
            <w:hideMark/>
          </w:tcPr>
          <w:p w14:paraId="3309B8DA"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68</w:t>
            </w:r>
          </w:p>
        </w:tc>
        <w:tc>
          <w:tcPr>
            <w:tcW w:w="375" w:type="pct"/>
            <w:noWrap/>
            <w:hideMark/>
          </w:tcPr>
          <w:p w14:paraId="17055FCF"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32</w:t>
            </w:r>
          </w:p>
        </w:tc>
      </w:tr>
      <w:tr w:rsidR="00241C9A" w:rsidRPr="005C429C" w14:paraId="3BE9DBC1" w14:textId="77777777" w:rsidTr="008B293B">
        <w:trPr>
          <w:trHeight w:val="284"/>
        </w:trPr>
        <w:tc>
          <w:tcPr>
            <w:tcW w:w="542" w:type="pct"/>
            <w:vMerge/>
            <w:noWrap/>
            <w:hideMark/>
          </w:tcPr>
          <w:p w14:paraId="659E8BE5" w14:textId="48384CF2" w:rsidR="00FD60FD" w:rsidRPr="005C429C" w:rsidRDefault="00FD60FD" w:rsidP="00B63A86">
            <w:pPr>
              <w:jc w:val="both"/>
              <w:rPr>
                <w:rFonts w:ascii="Times New Roman" w:hAnsi="Times New Roman" w:cs="Times New Roman"/>
              </w:rPr>
            </w:pPr>
          </w:p>
        </w:tc>
        <w:tc>
          <w:tcPr>
            <w:tcW w:w="551" w:type="pct"/>
            <w:vMerge/>
            <w:noWrap/>
            <w:hideMark/>
          </w:tcPr>
          <w:p w14:paraId="0E69AC48" w14:textId="7E5A6F81" w:rsidR="00FD60FD" w:rsidRPr="005C429C" w:rsidRDefault="00FD60FD" w:rsidP="00B63A86">
            <w:pPr>
              <w:jc w:val="both"/>
              <w:rPr>
                <w:rFonts w:ascii="Times New Roman" w:hAnsi="Times New Roman" w:cs="Times New Roman"/>
              </w:rPr>
            </w:pPr>
          </w:p>
        </w:tc>
        <w:tc>
          <w:tcPr>
            <w:tcW w:w="396" w:type="pct"/>
            <w:vMerge/>
            <w:noWrap/>
            <w:hideMark/>
          </w:tcPr>
          <w:p w14:paraId="070302B4" w14:textId="49FE383B" w:rsidR="00FD60FD" w:rsidRPr="005C429C" w:rsidRDefault="00FD60FD" w:rsidP="00B63A86">
            <w:pPr>
              <w:jc w:val="both"/>
              <w:rPr>
                <w:rFonts w:ascii="Times New Roman" w:hAnsi="Times New Roman" w:cs="Times New Roman"/>
              </w:rPr>
            </w:pPr>
          </w:p>
        </w:tc>
        <w:tc>
          <w:tcPr>
            <w:tcW w:w="421" w:type="pct"/>
            <w:vMerge/>
            <w:noWrap/>
            <w:hideMark/>
          </w:tcPr>
          <w:p w14:paraId="198B5DE1" w14:textId="67C96101" w:rsidR="00FD60FD" w:rsidRPr="005C429C" w:rsidRDefault="00FD60FD" w:rsidP="00B63A86">
            <w:pPr>
              <w:jc w:val="both"/>
              <w:rPr>
                <w:rFonts w:ascii="Times New Roman" w:hAnsi="Times New Roman" w:cs="Times New Roman"/>
              </w:rPr>
            </w:pPr>
          </w:p>
        </w:tc>
        <w:tc>
          <w:tcPr>
            <w:tcW w:w="1248" w:type="pct"/>
            <w:noWrap/>
            <w:hideMark/>
          </w:tcPr>
          <w:p w14:paraId="129D33D8"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10 mg/kg biweekly</w:t>
            </w:r>
          </w:p>
        </w:tc>
        <w:tc>
          <w:tcPr>
            <w:tcW w:w="516" w:type="pct"/>
            <w:noWrap/>
            <w:hideMark/>
          </w:tcPr>
          <w:p w14:paraId="33DA944D"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152</w:t>
            </w:r>
          </w:p>
        </w:tc>
        <w:tc>
          <w:tcPr>
            <w:tcW w:w="950" w:type="pct"/>
            <w:noWrap/>
            <w:hideMark/>
          </w:tcPr>
          <w:p w14:paraId="6378159A"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59</w:t>
            </w:r>
          </w:p>
        </w:tc>
        <w:tc>
          <w:tcPr>
            <w:tcW w:w="375" w:type="pct"/>
            <w:noWrap/>
            <w:hideMark/>
          </w:tcPr>
          <w:p w14:paraId="10E1A7AA"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41</w:t>
            </w:r>
          </w:p>
        </w:tc>
      </w:tr>
      <w:tr w:rsidR="00241C9A" w:rsidRPr="005C429C" w14:paraId="309F1478" w14:textId="77777777" w:rsidTr="008B293B">
        <w:trPr>
          <w:trHeight w:val="284"/>
        </w:trPr>
        <w:tc>
          <w:tcPr>
            <w:tcW w:w="542" w:type="pct"/>
            <w:vMerge w:val="restart"/>
            <w:noWrap/>
            <w:hideMark/>
          </w:tcPr>
          <w:p w14:paraId="15A06165" w14:textId="51DFB82A" w:rsidR="00FD60FD" w:rsidRPr="005C429C" w:rsidRDefault="00FD60FD" w:rsidP="00241C9A">
            <w:pPr>
              <w:jc w:val="both"/>
              <w:rPr>
                <w:rFonts w:ascii="Times New Roman" w:hAnsi="Times New Roman" w:cs="Times New Roman"/>
              </w:rPr>
            </w:pPr>
            <w:r w:rsidRPr="005C429C">
              <w:rPr>
                <w:rFonts w:ascii="Times New Roman" w:hAnsi="Times New Roman" w:cs="Times New Roman"/>
              </w:rPr>
              <w:t>Clarity AD </w:t>
            </w:r>
          </w:p>
        </w:tc>
        <w:tc>
          <w:tcPr>
            <w:tcW w:w="551" w:type="pct"/>
            <w:vMerge w:val="restart"/>
            <w:noWrap/>
            <w:hideMark/>
          </w:tcPr>
          <w:p w14:paraId="44C510D8" w14:textId="0EA91468" w:rsidR="00FD60FD" w:rsidRPr="005C429C" w:rsidRDefault="00FD60FD" w:rsidP="00241C9A">
            <w:pPr>
              <w:jc w:val="both"/>
              <w:rPr>
                <w:rFonts w:ascii="Times New Roman" w:hAnsi="Times New Roman" w:cs="Times New Roman"/>
              </w:rPr>
            </w:pPr>
            <w:r w:rsidRPr="005C429C">
              <w:rPr>
                <w:rFonts w:ascii="Times New Roman" w:hAnsi="Times New Roman" w:cs="Times New Roman"/>
              </w:rPr>
              <w:t>NCT03887455 </w:t>
            </w:r>
          </w:p>
        </w:tc>
        <w:tc>
          <w:tcPr>
            <w:tcW w:w="396" w:type="pct"/>
            <w:vMerge w:val="restart"/>
            <w:noWrap/>
            <w:hideMark/>
          </w:tcPr>
          <w:p w14:paraId="57240E4D" w14:textId="6902D6CB" w:rsidR="00FD60FD" w:rsidRPr="005C429C" w:rsidRDefault="00FD60FD" w:rsidP="00241C9A">
            <w:pPr>
              <w:jc w:val="both"/>
              <w:rPr>
                <w:rFonts w:ascii="Times New Roman" w:hAnsi="Times New Roman" w:cs="Times New Roman"/>
              </w:rPr>
            </w:pPr>
            <w:r w:rsidRPr="005C429C">
              <w:rPr>
                <w:rFonts w:ascii="Times New Roman" w:hAnsi="Times New Roman" w:cs="Times New Roman"/>
              </w:rPr>
              <w:t>Lecanemab</w:t>
            </w:r>
          </w:p>
        </w:tc>
        <w:tc>
          <w:tcPr>
            <w:tcW w:w="421" w:type="pct"/>
            <w:vMerge w:val="restart"/>
            <w:noWrap/>
            <w:hideMark/>
          </w:tcPr>
          <w:p w14:paraId="59D7C9B4"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18 months</w:t>
            </w:r>
          </w:p>
          <w:p w14:paraId="1D458607" w14:textId="4661E724" w:rsidR="00FD60FD" w:rsidRPr="005C429C" w:rsidRDefault="00FD60FD" w:rsidP="00B63A86">
            <w:pPr>
              <w:jc w:val="both"/>
              <w:rPr>
                <w:rFonts w:ascii="Times New Roman" w:hAnsi="Times New Roman" w:cs="Times New Roman"/>
              </w:rPr>
            </w:pPr>
            <w:r w:rsidRPr="005C429C">
              <w:rPr>
                <w:rFonts w:ascii="Times New Roman" w:hAnsi="Times New Roman" w:cs="Times New Roman"/>
              </w:rPr>
              <w:t> </w:t>
            </w:r>
          </w:p>
        </w:tc>
        <w:tc>
          <w:tcPr>
            <w:tcW w:w="1248" w:type="pct"/>
            <w:noWrap/>
            <w:hideMark/>
          </w:tcPr>
          <w:p w14:paraId="0F337D28"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Placebo</w:t>
            </w:r>
          </w:p>
        </w:tc>
        <w:tc>
          <w:tcPr>
            <w:tcW w:w="516" w:type="pct"/>
            <w:noWrap/>
            <w:hideMark/>
          </w:tcPr>
          <w:p w14:paraId="45552D5D"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875</w:t>
            </w:r>
          </w:p>
        </w:tc>
        <w:tc>
          <w:tcPr>
            <w:tcW w:w="950" w:type="pct"/>
            <w:noWrap/>
            <w:hideMark/>
          </w:tcPr>
          <w:p w14:paraId="6FBA2DB6"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62.2</w:t>
            </w:r>
          </w:p>
        </w:tc>
        <w:tc>
          <w:tcPr>
            <w:tcW w:w="375" w:type="pct"/>
            <w:noWrap/>
            <w:hideMark/>
          </w:tcPr>
          <w:p w14:paraId="547892A8"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37.8</w:t>
            </w:r>
          </w:p>
        </w:tc>
      </w:tr>
      <w:tr w:rsidR="00241C9A" w:rsidRPr="005C429C" w14:paraId="1ED95062" w14:textId="77777777" w:rsidTr="008B293B">
        <w:trPr>
          <w:trHeight w:val="284"/>
        </w:trPr>
        <w:tc>
          <w:tcPr>
            <w:tcW w:w="542" w:type="pct"/>
            <w:vMerge/>
            <w:noWrap/>
            <w:hideMark/>
          </w:tcPr>
          <w:p w14:paraId="61E10679" w14:textId="1C0C4B61" w:rsidR="00FD60FD" w:rsidRPr="005C429C" w:rsidRDefault="00FD60FD" w:rsidP="00B63A86">
            <w:pPr>
              <w:jc w:val="both"/>
              <w:rPr>
                <w:rFonts w:ascii="Times New Roman" w:hAnsi="Times New Roman" w:cs="Times New Roman"/>
              </w:rPr>
            </w:pPr>
          </w:p>
        </w:tc>
        <w:tc>
          <w:tcPr>
            <w:tcW w:w="551" w:type="pct"/>
            <w:vMerge/>
            <w:noWrap/>
            <w:hideMark/>
          </w:tcPr>
          <w:p w14:paraId="10C249B8" w14:textId="4658FDB7" w:rsidR="00FD60FD" w:rsidRPr="005C429C" w:rsidRDefault="00FD60FD" w:rsidP="00B63A86">
            <w:pPr>
              <w:jc w:val="both"/>
              <w:rPr>
                <w:rFonts w:ascii="Times New Roman" w:hAnsi="Times New Roman" w:cs="Times New Roman"/>
              </w:rPr>
            </w:pPr>
          </w:p>
        </w:tc>
        <w:tc>
          <w:tcPr>
            <w:tcW w:w="396" w:type="pct"/>
            <w:vMerge/>
            <w:noWrap/>
            <w:hideMark/>
          </w:tcPr>
          <w:p w14:paraId="0892D1B1" w14:textId="4A5C30C1" w:rsidR="00FD60FD" w:rsidRPr="005C429C" w:rsidRDefault="00FD60FD" w:rsidP="00B63A86">
            <w:pPr>
              <w:jc w:val="both"/>
              <w:rPr>
                <w:rFonts w:ascii="Times New Roman" w:hAnsi="Times New Roman" w:cs="Times New Roman"/>
              </w:rPr>
            </w:pPr>
          </w:p>
        </w:tc>
        <w:tc>
          <w:tcPr>
            <w:tcW w:w="421" w:type="pct"/>
            <w:vMerge/>
            <w:noWrap/>
            <w:hideMark/>
          </w:tcPr>
          <w:p w14:paraId="03832F79" w14:textId="0FFC3707" w:rsidR="00FD60FD" w:rsidRPr="005C429C" w:rsidRDefault="00FD60FD" w:rsidP="00B63A86">
            <w:pPr>
              <w:jc w:val="both"/>
              <w:rPr>
                <w:rFonts w:ascii="Times New Roman" w:hAnsi="Times New Roman" w:cs="Times New Roman"/>
              </w:rPr>
            </w:pPr>
          </w:p>
        </w:tc>
        <w:tc>
          <w:tcPr>
            <w:tcW w:w="1248" w:type="pct"/>
            <w:noWrap/>
            <w:hideMark/>
          </w:tcPr>
          <w:p w14:paraId="5AC0E2F6"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10 mg/kg biweekly</w:t>
            </w:r>
          </w:p>
        </w:tc>
        <w:tc>
          <w:tcPr>
            <w:tcW w:w="516" w:type="pct"/>
            <w:noWrap/>
            <w:hideMark/>
          </w:tcPr>
          <w:p w14:paraId="34CFE570"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859</w:t>
            </w:r>
          </w:p>
        </w:tc>
        <w:tc>
          <w:tcPr>
            <w:tcW w:w="950" w:type="pct"/>
            <w:noWrap/>
            <w:hideMark/>
          </w:tcPr>
          <w:p w14:paraId="26A1CD02"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61.5</w:t>
            </w:r>
          </w:p>
        </w:tc>
        <w:tc>
          <w:tcPr>
            <w:tcW w:w="375" w:type="pct"/>
            <w:noWrap/>
            <w:hideMark/>
          </w:tcPr>
          <w:p w14:paraId="28429EF8"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38.5</w:t>
            </w:r>
          </w:p>
        </w:tc>
      </w:tr>
      <w:tr w:rsidR="00241C9A" w:rsidRPr="005C429C" w14:paraId="1780F2AD" w14:textId="77777777" w:rsidTr="008B293B">
        <w:trPr>
          <w:trHeight w:val="284"/>
        </w:trPr>
        <w:tc>
          <w:tcPr>
            <w:tcW w:w="542" w:type="pct"/>
            <w:vMerge w:val="restart"/>
            <w:noWrap/>
            <w:hideMark/>
          </w:tcPr>
          <w:p w14:paraId="5EF065BF"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Trailblazer-ALZ</w:t>
            </w:r>
          </w:p>
          <w:p w14:paraId="11ED9399" w14:textId="477C3A2F" w:rsidR="00FD60FD" w:rsidRPr="005C429C" w:rsidRDefault="00FD60FD" w:rsidP="00B63A86">
            <w:pPr>
              <w:jc w:val="both"/>
              <w:rPr>
                <w:rFonts w:ascii="Times New Roman" w:hAnsi="Times New Roman" w:cs="Times New Roman"/>
              </w:rPr>
            </w:pPr>
            <w:r w:rsidRPr="005C429C">
              <w:rPr>
                <w:rFonts w:ascii="Times New Roman" w:hAnsi="Times New Roman" w:cs="Times New Roman"/>
              </w:rPr>
              <w:t> </w:t>
            </w:r>
          </w:p>
        </w:tc>
        <w:tc>
          <w:tcPr>
            <w:tcW w:w="551" w:type="pct"/>
            <w:vMerge w:val="restart"/>
            <w:noWrap/>
            <w:hideMark/>
          </w:tcPr>
          <w:p w14:paraId="1DECE418"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NCT03367403</w:t>
            </w:r>
          </w:p>
          <w:p w14:paraId="62441FCF" w14:textId="23F72C43" w:rsidR="00FD60FD" w:rsidRPr="005C429C" w:rsidRDefault="00FD60FD" w:rsidP="00B63A86">
            <w:pPr>
              <w:jc w:val="both"/>
              <w:rPr>
                <w:rFonts w:ascii="Times New Roman" w:hAnsi="Times New Roman" w:cs="Times New Roman"/>
              </w:rPr>
            </w:pPr>
            <w:r w:rsidRPr="005C429C">
              <w:rPr>
                <w:rFonts w:ascii="Times New Roman" w:hAnsi="Times New Roman" w:cs="Times New Roman"/>
              </w:rPr>
              <w:t> </w:t>
            </w:r>
          </w:p>
        </w:tc>
        <w:tc>
          <w:tcPr>
            <w:tcW w:w="396" w:type="pct"/>
            <w:vMerge w:val="restart"/>
            <w:noWrap/>
            <w:hideMark/>
          </w:tcPr>
          <w:p w14:paraId="672FE9A3"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Donanemab</w:t>
            </w:r>
          </w:p>
          <w:p w14:paraId="6A85301F" w14:textId="34230528" w:rsidR="00FD60FD" w:rsidRPr="005C429C" w:rsidRDefault="00FD60FD" w:rsidP="00B63A86">
            <w:pPr>
              <w:jc w:val="both"/>
              <w:rPr>
                <w:rFonts w:ascii="Times New Roman" w:hAnsi="Times New Roman" w:cs="Times New Roman"/>
              </w:rPr>
            </w:pPr>
            <w:r w:rsidRPr="005C429C">
              <w:rPr>
                <w:rFonts w:ascii="Times New Roman" w:hAnsi="Times New Roman" w:cs="Times New Roman"/>
              </w:rPr>
              <w:t> </w:t>
            </w:r>
          </w:p>
        </w:tc>
        <w:tc>
          <w:tcPr>
            <w:tcW w:w="421" w:type="pct"/>
            <w:vMerge w:val="restart"/>
            <w:noWrap/>
            <w:hideMark/>
          </w:tcPr>
          <w:p w14:paraId="19115AA6"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72 weeks</w:t>
            </w:r>
          </w:p>
          <w:p w14:paraId="129412FF" w14:textId="49CF4987" w:rsidR="00FD60FD" w:rsidRPr="005C429C" w:rsidRDefault="00FD60FD" w:rsidP="00B63A86">
            <w:pPr>
              <w:jc w:val="both"/>
              <w:rPr>
                <w:rFonts w:ascii="Times New Roman" w:hAnsi="Times New Roman" w:cs="Times New Roman"/>
              </w:rPr>
            </w:pPr>
            <w:r w:rsidRPr="005C429C">
              <w:rPr>
                <w:rFonts w:ascii="Times New Roman" w:hAnsi="Times New Roman" w:cs="Times New Roman"/>
              </w:rPr>
              <w:t> </w:t>
            </w:r>
          </w:p>
        </w:tc>
        <w:tc>
          <w:tcPr>
            <w:tcW w:w="1248" w:type="pct"/>
            <w:noWrap/>
            <w:hideMark/>
          </w:tcPr>
          <w:p w14:paraId="55A96C2B"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Placebo</w:t>
            </w:r>
          </w:p>
        </w:tc>
        <w:tc>
          <w:tcPr>
            <w:tcW w:w="516" w:type="pct"/>
            <w:noWrap/>
            <w:hideMark/>
          </w:tcPr>
          <w:p w14:paraId="5FA79BEA"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126</w:t>
            </w:r>
          </w:p>
        </w:tc>
        <w:tc>
          <w:tcPr>
            <w:tcW w:w="1326" w:type="pct"/>
            <w:gridSpan w:val="2"/>
            <w:vMerge w:val="restart"/>
            <w:hideMark/>
          </w:tcPr>
          <w:p w14:paraId="3C15483C"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prodromal AD or mild AD with dementia</w:t>
            </w:r>
          </w:p>
        </w:tc>
      </w:tr>
      <w:tr w:rsidR="00241C9A" w:rsidRPr="005C429C" w14:paraId="3A619E48" w14:textId="77777777" w:rsidTr="008B293B">
        <w:trPr>
          <w:trHeight w:val="284"/>
        </w:trPr>
        <w:tc>
          <w:tcPr>
            <w:tcW w:w="542" w:type="pct"/>
            <w:vMerge/>
            <w:noWrap/>
            <w:hideMark/>
          </w:tcPr>
          <w:p w14:paraId="48EA9843" w14:textId="5235399F" w:rsidR="00FD60FD" w:rsidRPr="005C429C" w:rsidRDefault="00FD60FD" w:rsidP="00B63A86">
            <w:pPr>
              <w:jc w:val="both"/>
              <w:rPr>
                <w:rFonts w:ascii="Times New Roman" w:hAnsi="Times New Roman" w:cs="Times New Roman"/>
              </w:rPr>
            </w:pPr>
          </w:p>
        </w:tc>
        <w:tc>
          <w:tcPr>
            <w:tcW w:w="551" w:type="pct"/>
            <w:vMerge/>
            <w:noWrap/>
            <w:hideMark/>
          </w:tcPr>
          <w:p w14:paraId="6AE00BC4" w14:textId="01BF2B4D" w:rsidR="00FD60FD" w:rsidRPr="005C429C" w:rsidRDefault="00FD60FD" w:rsidP="00B63A86">
            <w:pPr>
              <w:jc w:val="both"/>
              <w:rPr>
                <w:rFonts w:ascii="Times New Roman" w:hAnsi="Times New Roman" w:cs="Times New Roman"/>
              </w:rPr>
            </w:pPr>
          </w:p>
        </w:tc>
        <w:tc>
          <w:tcPr>
            <w:tcW w:w="396" w:type="pct"/>
            <w:vMerge/>
            <w:noWrap/>
            <w:hideMark/>
          </w:tcPr>
          <w:p w14:paraId="30305EB5" w14:textId="253B18B7" w:rsidR="00FD60FD" w:rsidRPr="005C429C" w:rsidRDefault="00FD60FD" w:rsidP="00B63A86">
            <w:pPr>
              <w:jc w:val="both"/>
              <w:rPr>
                <w:rFonts w:ascii="Times New Roman" w:hAnsi="Times New Roman" w:cs="Times New Roman"/>
              </w:rPr>
            </w:pPr>
          </w:p>
        </w:tc>
        <w:tc>
          <w:tcPr>
            <w:tcW w:w="421" w:type="pct"/>
            <w:vMerge/>
            <w:noWrap/>
            <w:hideMark/>
          </w:tcPr>
          <w:p w14:paraId="4AAE0D03" w14:textId="539BBF93" w:rsidR="00FD60FD" w:rsidRPr="005C429C" w:rsidRDefault="00FD60FD" w:rsidP="00B63A86">
            <w:pPr>
              <w:jc w:val="both"/>
              <w:rPr>
                <w:rFonts w:ascii="Times New Roman" w:hAnsi="Times New Roman" w:cs="Times New Roman"/>
              </w:rPr>
            </w:pPr>
          </w:p>
        </w:tc>
        <w:tc>
          <w:tcPr>
            <w:tcW w:w="1248" w:type="pct"/>
            <w:noWrap/>
            <w:hideMark/>
          </w:tcPr>
          <w:p w14:paraId="1235FBF7"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700 mg for the first three doses and 1400 mg thereafter</w:t>
            </w:r>
          </w:p>
        </w:tc>
        <w:tc>
          <w:tcPr>
            <w:tcW w:w="516" w:type="pct"/>
            <w:noWrap/>
            <w:hideMark/>
          </w:tcPr>
          <w:p w14:paraId="3C0FFE55"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131</w:t>
            </w:r>
          </w:p>
        </w:tc>
        <w:tc>
          <w:tcPr>
            <w:tcW w:w="1326" w:type="pct"/>
            <w:gridSpan w:val="2"/>
            <w:vMerge/>
            <w:hideMark/>
          </w:tcPr>
          <w:p w14:paraId="4C9CE748" w14:textId="77777777" w:rsidR="00FD60FD" w:rsidRPr="005C429C" w:rsidRDefault="00FD60FD" w:rsidP="00B63A86">
            <w:pPr>
              <w:jc w:val="both"/>
              <w:rPr>
                <w:rFonts w:ascii="Times New Roman" w:hAnsi="Times New Roman" w:cs="Times New Roman"/>
              </w:rPr>
            </w:pPr>
          </w:p>
        </w:tc>
      </w:tr>
      <w:tr w:rsidR="00241C9A" w:rsidRPr="005C429C" w14:paraId="5B04802C" w14:textId="77777777" w:rsidTr="008B293B">
        <w:trPr>
          <w:trHeight w:val="284"/>
        </w:trPr>
        <w:tc>
          <w:tcPr>
            <w:tcW w:w="542" w:type="pct"/>
            <w:vMerge w:val="restart"/>
            <w:noWrap/>
            <w:hideMark/>
          </w:tcPr>
          <w:p w14:paraId="034C7349"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Trailblazer-ALZ2</w:t>
            </w:r>
          </w:p>
          <w:p w14:paraId="4E0203ED" w14:textId="26EF7064" w:rsidR="00FD60FD" w:rsidRPr="005C429C" w:rsidRDefault="00FD60FD" w:rsidP="00B63A86">
            <w:pPr>
              <w:jc w:val="both"/>
              <w:rPr>
                <w:rFonts w:ascii="Times New Roman" w:hAnsi="Times New Roman" w:cs="Times New Roman"/>
              </w:rPr>
            </w:pPr>
            <w:r w:rsidRPr="005C429C">
              <w:rPr>
                <w:rFonts w:ascii="Times New Roman" w:hAnsi="Times New Roman" w:cs="Times New Roman"/>
              </w:rPr>
              <w:t> </w:t>
            </w:r>
          </w:p>
        </w:tc>
        <w:tc>
          <w:tcPr>
            <w:tcW w:w="551" w:type="pct"/>
            <w:vMerge w:val="restart"/>
            <w:noWrap/>
            <w:hideMark/>
          </w:tcPr>
          <w:p w14:paraId="284DD6EC"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NCT04437511</w:t>
            </w:r>
          </w:p>
          <w:p w14:paraId="3E5D77C9" w14:textId="4D3AD7E7" w:rsidR="00FD60FD" w:rsidRPr="005C429C" w:rsidRDefault="00FD60FD" w:rsidP="00B63A86">
            <w:pPr>
              <w:jc w:val="both"/>
              <w:rPr>
                <w:rFonts w:ascii="Times New Roman" w:hAnsi="Times New Roman" w:cs="Times New Roman"/>
              </w:rPr>
            </w:pPr>
            <w:r w:rsidRPr="005C429C">
              <w:rPr>
                <w:rFonts w:ascii="Times New Roman" w:hAnsi="Times New Roman" w:cs="Times New Roman"/>
              </w:rPr>
              <w:t> </w:t>
            </w:r>
          </w:p>
        </w:tc>
        <w:tc>
          <w:tcPr>
            <w:tcW w:w="396" w:type="pct"/>
            <w:vMerge w:val="restart"/>
            <w:noWrap/>
            <w:hideMark/>
          </w:tcPr>
          <w:p w14:paraId="572D5F58"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Donanemab</w:t>
            </w:r>
          </w:p>
          <w:p w14:paraId="22C927F2" w14:textId="02AF84DF" w:rsidR="00FD60FD" w:rsidRPr="005C429C" w:rsidRDefault="00FD60FD" w:rsidP="00B63A86">
            <w:pPr>
              <w:jc w:val="both"/>
              <w:rPr>
                <w:rFonts w:ascii="Times New Roman" w:hAnsi="Times New Roman" w:cs="Times New Roman"/>
              </w:rPr>
            </w:pPr>
            <w:r w:rsidRPr="005C429C">
              <w:rPr>
                <w:rFonts w:ascii="Times New Roman" w:hAnsi="Times New Roman" w:cs="Times New Roman"/>
              </w:rPr>
              <w:t> </w:t>
            </w:r>
          </w:p>
        </w:tc>
        <w:tc>
          <w:tcPr>
            <w:tcW w:w="421" w:type="pct"/>
            <w:vMerge w:val="restart"/>
            <w:noWrap/>
            <w:hideMark/>
          </w:tcPr>
          <w:p w14:paraId="087CDD0E"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72 weeks</w:t>
            </w:r>
          </w:p>
          <w:p w14:paraId="1A0E4529" w14:textId="3939108B" w:rsidR="00FD60FD" w:rsidRPr="005C429C" w:rsidRDefault="00FD60FD" w:rsidP="00B63A86">
            <w:pPr>
              <w:jc w:val="both"/>
              <w:rPr>
                <w:rFonts w:ascii="Times New Roman" w:hAnsi="Times New Roman" w:cs="Times New Roman"/>
              </w:rPr>
            </w:pPr>
            <w:r w:rsidRPr="005C429C">
              <w:rPr>
                <w:rFonts w:ascii="Times New Roman" w:hAnsi="Times New Roman" w:cs="Times New Roman"/>
              </w:rPr>
              <w:t> </w:t>
            </w:r>
          </w:p>
        </w:tc>
        <w:tc>
          <w:tcPr>
            <w:tcW w:w="1248" w:type="pct"/>
            <w:noWrap/>
            <w:hideMark/>
          </w:tcPr>
          <w:p w14:paraId="307FEBFE"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Placebo</w:t>
            </w:r>
          </w:p>
        </w:tc>
        <w:tc>
          <w:tcPr>
            <w:tcW w:w="516" w:type="pct"/>
            <w:noWrap/>
            <w:hideMark/>
          </w:tcPr>
          <w:p w14:paraId="368D4EA8"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876</w:t>
            </w:r>
          </w:p>
        </w:tc>
        <w:tc>
          <w:tcPr>
            <w:tcW w:w="950" w:type="pct"/>
            <w:noWrap/>
            <w:hideMark/>
          </w:tcPr>
          <w:p w14:paraId="660F65A3"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15.7</w:t>
            </w:r>
          </w:p>
        </w:tc>
        <w:tc>
          <w:tcPr>
            <w:tcW w:w="375" w:type="pct"/>
            <w:noWrap/>
            <w:hideMark/>
          </w:tcPr>
          <w:p w14:paraId="77BAF98D"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84.3</w:t>
            </w:r>
          </w:p>
        </w:tc>
      </w:tr>
      <w:tr w:rsidR="00241C9A" w:rsidRPr="005C429C" w14:paraId="5961E614" w14:textId="77777777" w:rsidTr="008B293B">
        <w:trPr>
          <w:trHeight w:val="284"/>
        </w:trPr>
        <w:tc>
          <w:tcPr>
            <w:tcW w:w="542" w:type="pct"/>
            <w:vMerge/>
            <w:noWrap/>
            <w:hideMark/>
          </w:tcPr>
          <w:p w14:paraId="56B5EBD4" w14:textId="084CBF1D" w:rsidR="00FD60FD" w:rsidRPr="005C429C" w:rsidRDefault="00FD60FD" w:rsidP="00B63A86">
            <w:pPr>
              <w:jc w:val="both"/>
              <w:rPr>
                <w:rFonts w:ascii="Times New Roman" w:hAnsi="Times New Roman" w:cs="Times New Roman"/>
              </w:rPr>
            </w:pPr>
          </w:p>
        </w:tc>
        <w:tc>
          <w:tcPr>
            <w:tcW w:w="551" w:type="pct"/>
            <w:vMerge/>
            <w:noWrap/>
            <w:hideMark/>
          </w:tcPr>
          <w:p w14:paraId="1C2507AC" w14:textId="78F3493E" w:rsidR="00FD60FD" w:rsidRPr="005C429C" w:rsidRDefault="00FD60FD" w:rsidP="00B63A86">
            <w:pPr>
              <w:jc w:val="both"/>
              <w:rPr>
                <w:rFonts w:ascii="Times New Roman" w:hAnsi="Times New Roman" w:cs="Times New Roman"/>
              </w:rPr>
            </w:pPr>
          </w:p>
        </w:tc>
        <w:tc>
          <w:tcPr>
            <w:tcW w:w="396" w:type="pct"/>
            <w:vMerge/>
            <w:noWrap/>
            <w:hideMark/>
          </w:tcPr>
          <w:p w14:paraId="53A41B4A" w14:textId="313EF442" w:rsidR="00FD60FD" w:rsidRPr="005C429C" w:rsidRDefault="00FD60FD" w:rsidP="00B63A86">
            <w:pPr>
              <w:jc w:val="both"/>
              <w:rPr>
                <w:rFonts w:ascii="Times New Roman" w:hAnsi="Times New Roman" w:cs="Times New Roman"/>
              </w:rPr>
            </w:pPr>
          </w:p>
        </w:tc>
        <w:tc>
          <w:tcPr>
            <w:tcW w:w="421" w:type="pct"/>
            <w:vMerge/>
            <w:noWrap/>
            <w:hideMark/>
          </w:tcPr>
          <w:p w14:paraId="59B7BC80" w14:textId="085037E4" w:rsidR="00FD60FD" w:rsidRPr="005C429C" w:rsidRDefault="00FD60FD" w:rsidP="00B63A86">
            <w:pPr>
              <w:jc w:val="both"/>
              <w:rPr>
                <w:rFonts w:ascii="Times New Roman" w:hAnsi="Times New Roman" w:cs="Times New Roman"/>
              </w:rPr>
            </w:pPr>
          </w:p>
        </w:tc>
        <w:tc>
          <w:tcPr>
            <w:tcW w:w="1248" w:type="pct"/>
            <w:noWrap/>
            <w:hideMark/>
          </w:tcPr>
          <w:p w14:paraId="78C75370"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700 mg for the first three doses and 1400 mg thereafter</w:t>
            </w:r>
          </w:p>
        </w:tc>
        <w:tc>
          <w:tcPr>
            <w:tcW w:w="516" w:type="pct"/>
            <w:noWrap/>
            <w:hideMark/>
          </w:tcPr>
          <w:p w14:paraId="11D8E0D5"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860</w:t>
            </w:r>
          </w:p>
        </w:tc>
        <w:tc>
          <w:tcPr>
            <w:tcW w:w="950" w:type="pct"/>
            <w:noWrap/>
            <w:hideMark/>
          </w:tcPr>
          <w:p w14:paraId="483609A5"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17</w:t>
            </w:r>
          </w:p>
        </w:tc>
        <w:tc>
          <w:tcPr>
            <w:tcW w:w="375" w:type="pct"/>
            <w:noWrap/>
            <w:hideMark/>
          </w:tcPr>
          <w:p w14:paraId="5C1CD69B"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83</w:t>
            </w:r>
          </w:p>
        </w:tc>
      </w:tr>
      <w:tr w:rsidR="00241C9A" w:rsidRPr="005C429C" w14:paraId="4ACDCF35" w14:textId="77777777" w:rsidTr="008B293B">
        <w:trPr>
          <w:trHeight w:val="284"/>
        </w:trPr>
        <w:tc>
          <w:tcPr>
            <w:tcW w:w="542" w:type="pct"/>
            <w:vMerge w:val="restart"/>
            <w:noWrap/>
            <w:hideMark/>
          </w:tcPr>
          <w:p w14:paraId="150E64B5"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SCarlet RoAD</w:t>
            </w:r>
          </w:p>
          <w:p w14:paraId="643A2DAC"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 </w:t>
            </w:r>
          </w:p>
          <w:p w14:paraId="1BC46B14" w14:textId="26F708FC" w:rsidR="00FD60FD" w:rsidRPr="005C429C" w:rsidRDefault="00FD60FD" w:rsidP="00B63A86">
            <w:pPr>
              <w:jc w:val="both"/>
              <w:rPr>
                <w:rFonts w:ascii="Times New Roman" w:hAnsi="Times New Roman" w:cs="Times New Roman"/>
              </w:rPr>
            </w:pPr>
            <w:r w:rsidRPr="005C429C">
              <w:rPr>
                <w:rFonts w:ascii="Times New Roman" w:hAnsi="Times New Roman" w:cs="Times New Roman"/>
              </w:rPr>
              <w:t> </w:t>
            </w:r>
          </w:p>
        </w:tc>
        <w:tc>
          <w:tcPr>
            <w:tcW w:w="551" w:type="pct"/>
            <w:vMerge w:val="restart"/>
            <w:noWrap/>
            <w:hideMark/>
          </w:tcPr>
          <w:p w14:paraId="0DB2A283"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NCT01224106</w:t>
            </w:r>
          </w:p>
          <w:p w14:paraId="19113B0F"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 </w:t>
            </w:r>
          </w:p>
          <w:p w14:paraId="594CA1A0" w14:textId="45135C28" w:rsidR="00FD60FD" w:rsidRPr="005C429C" w:rsidRDefault="00FD60FD" w:rsidP="00B63A86">
            <w:pPr>
              <w:jc w:val="both"/>
              <w:rPr>
                <w:rFonts w:ascii="Times New Roman" w:hAnsi="Times New Roman" w:cs="Times New Roman"/>
              </w:rPr>
            </w:pPr>
            <w:r w:rsidRPr="005C429C">
              <w:rPr>
                <w:rFonts w:ascii="Times New Roman" w:hAnsi="Times New Roman" w:cs="Times New Roman"/>
              </w:rPr>
              <w:t> </w:t>
            </w:r>
          </w:p>
        </w:tc>
        <w:tc>
          <w:tcPr>
            <w:tcW w:w="396" w:type="pct"/>
            <w:vMerge w:val="restart"/>
            <w:noWrap/>
            <w:hideMark/>
          </w:tcPr>
          <w:p w14:paraId="209472F0"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Gantenerumab</w:t>
            </w:r>
          </w:p>
          <w:p w14:paraId="7A0A2020"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 </w:t>
            </w:r>
          </w:p>
          <w:p w14:paraId="6BE15C47" w14:textId="717F5BA4" w:rsidR="00FD60FD" w:rsidRPr="005C429C" w:rsidRDefault="00FD60FD" w:rsidP="00B63A86">
            <w:pPr>
              <w:jc w:val="both"/>
              <w:rPr>
                <w:rFonts w:ascii="Times New Roman" w:hAnsi="Times New Roman" w:cs="Times New Roman"/>
              </w:rPr>
            </w:pPr>
            <w:r w:rsidRPr="005C429C">
              <w:rPr>
                <w:rFonts w:ascii="Times New Roman" w:hAnsi="Times New Roman" w:cs="Times New Roman"/>
              </w:rPr>
              <w:t> </w:t>
            </w:r>
          </w:p>
        </w:tc>
        <w:tc>
          <w:tcPr>
            <w:tcW w:w="421" w:type="pct"/>
            <w:vMerge w:val="restart"/>
            <w:noWrap/>
            <w:hideMark/>
          </w:tcPr>
          <w:p w14:paraId="5119F4E4"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2 years</w:t>
            </w:r>
          </w:p>
          <w:p w14:paraId="6BD4A1EC"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 </w:t>
            </w:r>
          </w:p>
          <w:p w14:paraId="3F9DF1E0" w14:textId="5754C56E" w:rsidR="00FD60FD" w:rsidRPr="005C429C" w:rsidRDefault="00FD60FD" w:rsidP="00B63A86">
            <w:pPr>
              <w:jc w:val="both"/>
              <w:rPr>
                <w:rFonts w:ascii="Times New Roman" w:hAnsi="Times New Roman" w:cs="Times New Roman"/>
              </w:rPr>
            </w:pPr>
            <w:r w:rsidRPr="005C429C">
              <w:rPr>
                <w:rFonts w:ascii="Times New Roman" w:hAnsi="Times New Roman" w:cs="Times New Roman"/>
              </w:rPr>
              <w:t> </w:t>
            </w:r>
          </w:p>
        </w:tc>
        <w:tc>
          <w:tcPr>
            <w:tcW w:w="1248" w:type="pct"/>
            <w:noWrap/>
            <w:hideMark/>
          </w:tcPr>
          <w:p w14:paraId="2954EF60"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Placebo</w:t>
            </w:r>
          </w:p>
        </w:tc>
        <w:tc>
          <w:tcPr>
            <w:tcW w:w="516" w:type="pct"/>
            <w:noWrap/>
            <w:hideMark/>
          </w:tcPr>
          <w:p w14:paraId="3A6FF6EA"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266</w:t>
            </w:r>
          </w:p>
        </w:tc>
        <w:tc>
          <w:tcPr>
            <w:tcW w:w="1326" w:type="pct"/>
            <w:gridSpan w:val="2"/>
            <w:vMerge w:val="restart"/>
            <w:noWrap/>
            <w:hideMark/>
          </w:tcPr>
          <w:p w14:paraId="3647EF3C" w14:textId="61060F31" w:rsidR="00FD60FD" w:rsidRPr="005C429C" w:rsidRDefault="00FD60FD" w:rsidP="00B63A86">
            <w:pPr>
              <w:jc w:val="both"/>
              <w:rPr>
                <w:rFonts w:ascii="Times New Roman" w:hAnsi="Times New Roman" w:cs="Times New Roman"/>
              </w:rPr>
            </w:pPr>
            <w:r w:rsidRPr="005C429C">
              <w:rPr>
                <w:rFonts w:ascii="Times New Roman" w:hAnsi="Times New Roman" w:cs="Times New Roman"/>
              </w:rPr>
              <w:t>prodromal AD </w:t>
            </w:r>
          </w:p>
          <w:p w14:paraId="00B18E9E"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 </w:t>
            </w:r>
          </w:p>
          <w:p w14:paraId="2AE914C0" w14:textId="36B8F141" w:rsidR="00FD60FD" w:rsidRPr="005C429C" w:rsidRDefault="00FD60FD" w:rsidP="00B63A86">
            <w:pPr>
              <w:jc w:val="both"/>
              <w:rPr>
                <w:rFonts w:ascii="Times New Roman" w:hAnsi="Times New Roman" w:cs="Times New Roman"/>
              </w:rPr>
            </w:pPr>
            <w:r w:rsidRPr="005C429C">
              <w:rPr>
                <w:rFonts w:ascii="Times New Roman" w:hAnsi="Times New Roman" w:cs="Times New Roman"/>
              </w:rPr>
              <w:t> </w:t>
            </w:r>
          </w:p>
        </w:tc>
      </w:tr>
      <w:tr w:rsidR="00241C9A" w:rsidRPr="005C429C" w14:paraId="604245FC" w14:textId="77777777" w:rsidTr="008B293B">
        <w:trPr>
          <w:trHeight w:val="284"/>
        </w:trPr>
        <w:tc>
          <w:tcPr>
            <w:tcW w:w="542" w:type="pct"/>
            <w:vMerge/>
            <w:noWrap/>
            <w:hideMark/>
          </w:tcPr>
          <w:p w14:paraId="54930CB4" w14:textId="148A348B" w:rsidR="00FD60FD" w:rsidRPr="005C429C" w:rsidRDefault="00FD60FD" w:rsidP="00B63A86">
            <w:pPr>
              <w:jc w:val="both"/>
              <w:rPr>
                <w:rFonts w:ascii="Times New Roman" w:hAnsi="Times New Roman" w:cs="Times New Roman"/>
              </w:rPr>
            </w:pPr>
          </w:p>
        </w:tc>
        <w:tc>
          <w:tcPr>
            <w:tcW w:w="551" w:type="pct"/>
            <w:vMerge/>
            <w:noWrap/>
            <w:hideMark/>
          </w:tcPr>
          <w:p w14:paraId="285B372C" w14:textId="1941D5C5" w:rsidR="00FD60FD" w:rsidRPr="005C429C" w:rsidRDefault="00FD60FD" w:rsidP="00B63A86">
            <w:pPr>
              <w:jc w:val="both"/>
              <w:rPr>
                <w:rFonts w:ascii="Times New Roman" w:hAnsi="Times New Roman" w:cs="Times New Roman"/>
              </w:rPr>
            </w:pPr>
          </w:p>
        </w:tc>
        <w:tc>
          <w:tcPr>
            <w:tcW w:w="396" w:type="pct"/>
            <w:vMerge/>
            <w:noWrap/>
            <w:hideMark/>
          </w:tcPr>
          <w:p w14:paraId="4E606E65" w14:textId="2CF3D08D" w:rsidR="00FD60FD" w:rsidRPr="005C429C" w:rsidRDefault="00FD60FD" w:rsidP="00B63A86">
            <w:pPr>
              <w:jc w:val="both"/>
              <w:rPr>
                <w:rFonts w:ascii="Times New Roman" w:hAnsi="Times New Roman" w:cs="Times New Roman"/>
              </w:rPr>
            </w:pPr>
          </w:p>
        </w:tc>
        <w:tc>
          <w:tcPr>
            <w:tcW w:w="421" w:type="pct"/>
            <w:vMerge/>
            <w:noWrap/>
            <w:hideMark/>
          </w:tcPr>
          <w:p w14:paraId="6478099B" w14:textId="246EFE2E" w:rsidR="00FD60FD" w:rsidRPr="005C429C" w:rsidRDefault="00FD60FD" w:rsidP="00B63A86">
            <w:pPr>
              <w:jc w:val="both"/>
              <w:rPr>
                <w:rFonts w:ascii="Times New Roman" w:hAnsi="Times New Roman" w:cs="Times New Roman"/>
              </w:rPr>
            </w:pPr>
          </w:p>
        </w:tc>
        <w:tc>
          <w:tcPr>
            <w:tcW w:w="1248" w:type="pct"/>
            <w:noWrap/>
            <w:hideMark/>
          </w:tcPr>
          <w:p w14:paraId="6C15753E"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105 mg every 4 weeks</w:t>
            </w:r>
          </w:p>
        </w:tc>
        <w:tc>
          <w:tcPr>
            <w:tcW w:w="516" w:type="pct"/>
            <w:noWrap/>
            <w:hideMark/>
          </w:tcPr>
          <w:p w14:paraId="0E3FC7FC"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271</w:t>
            </w:r>
          </w:p>
        </w:tc>
        <w:tc>
          <w:tcPr>
            <w:tcW w:w="1326" w:type="pct"/>
            <w:gridSpan w:val="2"/>
            <w:vMerge/>
            <w:noWrap/>
            <w:hideMark/>
          </w:tcPr>
          <w:p w14:paraId="375C0540" w14:textId="643BE230" w:rsidR="00FD60FD" w:rsidRPr="005C429C" w:rsidRDefault="00FD60FD" w:rsidP="00B63A86">
            <w:pPr>
              <w:jc w:val="both"/>
              <w:rPr>
                <w:rFonts w:ascii="Times New Roman" w:hAnsi="Times New Roman" w:cs="Times New Roman"/>
              </w:rPr>
            </w:pPr>
          </w:p>
        </w:tc>
      </w:tr>
      <w:tr w:rsidR="00241C9A" w:rsidRPr="005C429C" w14:paraId="5598CAA0" w14:textId="77777777" w:rsidTr="008B293B">
        <w:trPr>
          <w:trHeight w:val="284"/>
        </w:trPr>
        <w:tc>
          <w:tcPr>
            <w:tcW w:w="542" w:type="pct"/>
            <w:vMerge/>
            <w:noWrap/>
            <w:hideMark/>
          </w:tcPr>
          <w:p w14:paraId="6983B74D" w14:textId="7B2F1F06" w:rsidR="00FD60FD" w:rsidRPr="005C429C" w:rsidRDefault="00FD60FD" w:rsidP="00B63A86">
            <w:pPr>
              <w:jc w:val="both"/>
              <w:rPr>
                <w:rFonts w:ascii="Times New Roman" w:hAnsi="Times New Roman" w:cs="Times New Roman"/>
              </w:rPr>
            </w:pPr>
          </w:p>
        </w:tc>
        <w:tc>
          <w:tcPr>
            <w:tcW w:w="551" w:type="pct"/>
            <w:vMerge/>
            <w:noWrap/>
            <w:hideMark/>
          </w:tcPr>
          <w:p w14:paraId="7D1BEE3E" w14:textId="2A8386E7" w:rsidR="00FD60FD" w:rsidRPr="005C429C" w:rsidRDefault="00FD60FD" w:rsidP="00B63A86">
            <w:pPr>
              <w:jc w:val="both"/>
              <w:rPr>
                <w:rFonts w:ascii="Times New Roman" w:hAnsi="Times New Roman" w:cs="Times New Roman"/>
              </w:rPr>
            </w:pPr>
          </w:p>
        </w:tc>
        <w:tc>
          <w:tcPr>
            <w:tcW w:w="396" w:type="pct"/>
            <w:vMerge/>
            <w:noWrap/>
            <w:hideMark/>
          </w:tcPr>
          <w:p w14:paraId="338FC898" w14:textId="244F3F82" w:rsidR="00FD60FD" w:rsidRPr="005C429C" w:rsidRDefault="00FD60FD" w:rsidP="00B63A86">
            <w:pPr>
              <w:jc w:val="both"/>
              <w:rPr>
                <w:rFonts w:ascii="Times New Roman" w:hAnsi="Times New Roman" w:cs="Times New Roman"/>
              </w:rPr>
            </w:pPr>
          </w:p>
        </w:tc>
        <w:tc>
          <w:tcPr>
            <w:tcW w:w="421" w:type="pct"/>
            <w:vMerge/>
            <w:noWrap/>
            <w:hideMark/>
          </w:tcPr>
          <w:p w14:paraId="2E0F43AA" w14:textId="329EFD80" w:rsidR="00FD60FD" w:rsidRPr="005C429C" w:rsidRDefault="00FD60FD" w:rsidP="00B63A86">
            <w:pPr>
              <w:jc w:val="both"/>
              <w:rPr>
                <w:rFonts w:ascii="Times New Roman" w:hAnsi="Times New Roman" w:cs="Times New Roman"/>
              </w:rPr>
            </w:pPr>
          </w:p>
        </w:tc>
        <w:tc>
          <w:tcPr>
            <w:tcW w:w="1248" w:type="pct"/>
            <w:noWrap/>
            <w:hideMark/>
          </w:tcPr>
          <w:p w14:paraId="1AA39F6F"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225 mg every 4 weeks</w:t>
            </w:r>
          </w:p>
        </w:tc>
        <w:tc>
          <w:tcPr>
            <w:tcW w:w="516" w:type="pct"/>
            <w:noWrap/>
            <w:hideMark/>
          </w:tcPr>
          <w:p w14:paraId="12283487"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260</w:t>
            </w:r>
          </w:p>
        </w:tc>
        <w:tc>
          <w:tcPr>
            <w:tcW w:w="1326" w:type="pct"/>
            <w:gridSpan w:val="2"/>
            <w:vMerge/>
            <w:noWrap/>
            <w:hideMark/>
          </w:tcPr>
          <w:p w14:paraId="15576A61" w14:textId="5C0B5BE8" w:rsidR="00FD60FD" w:rsidRPr="005C429C" w:rsidRDefault="00FD60FD" w:rsidP="00B63A86">
            <w:pPr>
              <w:jc w:val="both"/>
              <w:rPr>
                <w:rFonts w:ascii="Times New Roman" w:hAnsi="Times New Roman" w:cs="Times New Roman"/>
              </w:rPr>
            </w:pPr>
          </w:p>
        </w:tc>
      </w:tr>
      <w:tr w:rsidR="00241C9A" w:rsidRPr="005C429C" w14:paraId="6DDD6BD2" w14:textId="77777777" w:rsidTr="008B293B">
        <w:trPr>
          <w:trHeight w:val="284"/>
        </w:trPr>
        <w:tc>
          <w:tcPr>
            <w:tcW w:w="542" w:type="pct"/>
            <w:vMerge w:val="restart"/>
            <w:noWrap/>
            <w:hideMark/>
          </w:tcPr>
          <w:p w14:paraId="0D920CC8"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Graduate I</w:t>
            </w:r>
          </w:p>
          <w:p w14:paraId="61A24F96" w14:textId="37011B2A" w:rsidR="00FD60FD" w:rsidRPr="005C429C" w:rsidRDefault="00FD60FD" w:rsidP="00B63A86">
            <w:pPr>
              <w:jc w:val="both"/>
              <w:rPr>
                <w:rFonts w:ascii="Times New Roman" w:hAnsi="Times New Roman" w:cs="Times New Roman"/>
              </w:rPr>
            </w:pPr>
            <w:r w:rsidRPr="005C429C">
              <w:rPr>
                <w:rFonts w:ascii="Times New Roman" w:hAnsi="Times New Roman" w:cs="Times New Roman"/>
              </w:rPr>
              <w:t> </w:t>
            </w:r>
          </w:p>
        </w:tc>
        <w:tc>
          <w:tcPr>
            <w:tcW w:w="551" w:type="pct"/>
            <w:vMerge w:val="restart"/>
            <w:noWrap/>
            <w:hideMark/>
          </w:tcPr>
          <w:p w14:paraId="55D7C267"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NCT03444870</w:t>
            </w:r>
          </w:p>
          <w:p w14:paraId="2AD42A2D" w14:textId="5149BE89" w:rsidR="00FD60FD" w:rsidRPr="005C429C" w:rsidRDefault="00FD60FD" w:rsidP="00B63A86">
            <w:pPr>
              <w:jc w:val="both"/>
              <w:rPr>
                <w:rFonts w:ascii="Times New Roman" w:hAnsi="Times New Roman" w:cs="Times New Roman"/>
              </w:rPr>
            </w:pPr>
            <w:r w:rsidRPr="005C429C">
              <w:rPr>
                <w:rFonts w:ascii="Times New Roman" w:hAnsi="Times New Roman" w:cs="Times New Roman"/>
              </w:rPr>
              <w:t> </w:t>
            </w:r>
          </w:p>
        </w:tc>
        <w:tc>
          <w:tcPr>
            <w:tcW w:w="396" w:type="pct"/>
            <w:vMerge w:val="restart"/>
            <w:noWrap/>
            <w:hideMark/>
          </w:tcPr>
          <w:p w14:paraId="15FD36C0"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Gantenerumab</w:t>
            </w:r>
          </w:p>
          <w:p w14:paraId="2862BD6A" w14:textId="2E2A2FE1" w:rsidR="00FD60FD" w:rsidRPr="005C429C" w:rsidRDefault="00FD60FD" w:rsidP="00B63A86">
            <w:pPr>
              <w:jc w:val="both"/>
              <w:rPr>
                <w:rFonts w:ascii="Times New Roman" w:hAnsi="Times New Roman" w:cs="Times New Roman"/>
              </w:rPr>
            </w:pPr>
            <w:r w:rsidRPr="005C429C">
              <w:rPr>
                <w:rFonts w:ascii="Times New Roman" w:hAnsi="Times New Roman" w:cs="Times New Roman"/>
              </w:rPr>
              <w:t> </w:t>
            </w:r>
          </w:p>
        </w:tc>
        <w:tc>
          <w:tcPr>
            <w:tcW w:w="421" w:type="pct"/>
            <w:vMerge w:val="restart"/>
            <w:noWrap/>
            <w:hideMark/>
          </w:tcPr>
          <w:p w14:paraId="20EDE469"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116 weeks</w:t>
            </w:r>
          </w:p>
          <w:p w14:paraId="6F0966C5" w14:textId="616042A5" w:rsidR="00FD60FD" w:rsidRPr="005C429C" w:rsidRDefault="00FD60FD" w:rsidP="00B63A86">
            <w:pPr>
              <w:jc w:val="both"/>
              <w:rPr>
                <w:rFonts w:ascii="Times New Roman" w:hAnsi="Times New Roman" w:cs="Times New Roman"/>
              </w:rPr>
            </w:pPr>
            <w:r w:rsidRPr="005C429C">
              <w:rPr>
                <w:rFonts w:ascii="Times New Roman" w:hAnsi="Times New Roman" w:cs="Times New Roman"/>
              </w:rPr>
              <w:t> </w:t>
            </w:r>
          </w:p>
        </w:tc>
        <w:tc>
          <w:tcPr>
            <w:tcW w:w="1248" w:type="pct"/>
            <w:noWrap/>
            <w:hideMark/>
          </w:tcPr>
          <w:p w14:paraId="56B8768C"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Placebo</w:t>
            </w:r>
          </w:p>
        </w:tc>
        <w:tc>
          <w:tcPr>
            <w:tcW w:w="516" w:type="pct"/>
            <w:noWrap/>
            <w:hideMark/>
          </w:tcPr>
          <w:p w14:paraId="7DA8B0BF"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485</w:t>
            </w:r>
          </w:p>
        </w:tc>
        <w:tc>
          <w:tcPr>
            <w:tcW w:w="950" w:type="pct"/>
            <w:noWrap/>
            <w:hideMark/>
          </w:tcPr>
          <w:p w14:paraId="4B919210"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54.2</w:t>
            </w:r>
          </w:p>
        </w:tc>
        <w:tc>
          <w:tcPr>
            <w:tcW w:w="375" w:type="pct"/>
            <w:noWrap/>
            <w:hideMark/>
          </w:tcPr>
          <w:p w14:paraId="2A9D4143"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45.8</w:t>
            </w:r>
          </w:p>
        </w:tc>
      </w:tr>
      <w:tr w:rsidR="00241C9A" w:rsidRPr="005C429C" w14:paraId="6B7198EF" w14:textId="77777777" w:rsidTr="008B293B">
        <w:trPr>
          <w:trHeight w:val="284"/>
        </w:trPr>
        <w:tc>
          <w:tcPr>
            <w:tcW w:w="542" w:type="pct"/>
            <w:vMerge/>
            <w:noWrap/>
            <w:hideMark/>
          </w:tcPr>
          <w:p w14:paraId="627E583D" w14:textId="07DB928E" w:rsidR="00FD60FD" w:rsidRPr="005C429C" w:rsidRDefault="00FD60FD" w:rsidP="00B63A86">
            <w:pPr>
              <w:jc w:val="both"/>
              <w:rPr>
                <w:rFonts w:ascii="Times New Roman" w:hAnsi="Times New Roman" w:cs="Times New Roman"/>
              </w:rPr>
            </w:pPr>
          </w:p>
        </w:tc>
        <w:tc>
          <w:tcPr>
            <w:tcW w:w="551" w:type="pct"/>
            <w:vMerge/>
            <w:noWrap/>
            <w:hideMark/>
          </w:tcPr>
          <w:p w14:paraId="240C0D3B" w14:textId="570E2CC1" w:rsidR="00FD60FD" w:rsidRPr="005C429C" w:rsidRDefault="00FD60FD" w:rsidP="00B63A86">
            <w:pPr>
              <w:jc w:val="both"/>
              <w:rPr>
                <w:rFonts w:ascii="Times New Roman" w:hAnsi="Times New Roman" w:cs="Times New Roman"/>
              </w:rPr>
            </w:pPr>
          </w:p>
        </w:tc>
        <w:tc>
          <w:tcPr>
            <w:tcW w:w="396" w:type="pct"/>
            <w:vMerge/>
            <w:noWrap/>
            <w:hideMark/>
          </w:tcPr>
          <w:p w14:paraId="7D644794" w14:textId="31E76AE9" w:rsidR="00FD60FD" w:rsidRPr="005C429C" w:rsidRDefault="00FD60FD" w:rsidP="00B63A86">
            <w:pPr>
              <w:jc w:val="both"/>
              <w:rPr>
                <w:rFonts w:ascii="Times New Roman" w:hAnsi="Times New Roman" w:cs="Times New Roman"/>
              </w:rPr>
            </w:pPr>
          </w:p>
        </w:tc>
        <w:tc>
          <w:tcPr>
            <w:tcW w:w="421" w:type="pct"/>
            <w:vMerge/>
            <w:noWrap/>
            <w:hideMark/>
          </w:tcPr>
          <w:p w14:paraId="0B1AECFC" w14:textId="62A9A362" w:rsidR="00FD60FD" w:rsidRPr="005C429C" w:rsidRDefault="00FD60FD" w:rsidP="00B63A86">
            <w:pPr>
              <w:jc w:val="both"/>
              <w:rPr>
                <w:rFonts w:ascii="Times New Roman" w:hAnsi="Times New Roman" w:cs="Times New Roman"/>
              </w:rPr>
            </w:pPr>
          </w:p>
        </w:tc>
        <w:tc>
          <w:tcPr>
            <w:tcW w:w="1248" w:type="pct"/>
            <w:noWrap/>
            <w:hideMark/>
          </w:tcPr>
          <w:p w14:paraId="23022889"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510mg biweekly</w:t>
            </w:r>
          </w:p>
        </w:tc>
        <w:tc>
          <w:tcPr>
            <w:tcW w:w="516" w:type="pct"/>
            <w:noWrap/>
            <w:hideMark/>
          </w:tcPr>
          <w:p w14:paraId="24D9D0F6"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499</w:t>
            </w:r>
          </w:p>
        </w:tc>
        <w:tc>
          <w:tcPr>
            <w:tcW w:w="950" w:type="pct"/>
            <w:noWrap/>
            <w:hideMark/>
          </w:tcPr>
          <w:p w14:paraId="533221E4"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55.1</w:t>
            </w:r>
          </w:p>
        </w:tc>
        <w:tc>
          <w:tcPr>
            <w:tcW w:w="375" w:type="pct"/>
            <w:noWrap/>
            <w:hideMark/>
          </w:tcPr>
          <w:p w14:paraId="454B0E54"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44.9</w:t>
            </w:r>
          </w:p>
        </w:tc>
      </w:tr>
      <w:tr w:rsidR="00241C9A" w:rsidRPr="005C429C" w14:paraId="7E6FC08C" w14:textId="77777777" w:rsidTr="008B293B">
        <w:trPr>
          <w:trHeight w:val="284"/>
        </w:trPr>
        <w:tc>
          <w:tcPr>
            <w:tcW w:w="542" w:type="pct"/>
            <w:vMerge w:val="restart"/>
            <w:noWrap/>
            <w:hideMark/>
          </w:tcPr>
          <w:p w14:paraId="504AE3D8"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Graduate II</w:t>
            </w:r>
          </w:p>
          <w:p w14:paraId="000502A9" w14:textId="6413B6A6" w:rsidR="00FD60FD" w:rsidRPr="005C429C" w:rsidRDefault="00FD60FD" w:rsidP="00B63A86">
            <w:pPr>
              <w:jc w:val="both"/>
              <w:rPr>
                <w:rFonts w:ascii="Times New Roman" w:hAnsi="Times New Roman" w:cs="Times New Roman"/>
              </w:rPr>
            </w:pPr>
            <w:r w:rsidRPr="005C429C">
              <w:rPr>
                <w:rFonts w:ascii="Times New Roman" w:hAnsi="Times New Roman" w:cs="Times New Roman"/>
              </w:rPr>
              <w:t> </w:t>
            </w:r>
          </w:p>
        </w:tc>
        <w:tc>
          <w:tcPr>
            <w:tcW w:w="551" w:type="pct"/>
            <w:vMerge w:val="restart"/>
            <w:noWrap/>
            <w:hideMark/>
          </w:tcPr>
          <w:p w14:paraId="75CBEBAD"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NCT03443973</w:t>
            </w:r>
          </w:p>
          <w:p w14:paraId="5B43CE5B" w14:textId="2B1D4768" w:rsidR="00FD60FD" w:rsidRPr="005C429C" w:rsidRDefault="00FD60FD" w:rsidP="00B63A86">
            <w:pPr>
              <w:jc w:val="both"/>
              <w:rPr>
                <w:rFonts w:ascii="Times New Roman" w:hAnsi="Times New Roman" w:cs="Times New Roman"/>
              </w:rPr>
            </w:pPr>
            <w:r w:rsidRPr="005C429C">
              <w:rPr>
                <w:rFonts w:ascii="Times New Roman" w:hAnsi="Times New Roman" w:cs="Times New Roman"/>
              </w:rPr>
              <w:t> </w:t>
            </w:r>
          </w:p>
        </w:tc>
        <w:tc>
          <w:tcPr>
            <w:tcW w:w="396" w:type="pct"/>
            <w:vMerge w:val="restart"/>
            <w:noWrap/>
            <w:hideMark/>
          </w:tcPr>
          <w:p w14:paraId="755C67A6"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Gantenerumab</w:t>
            </w:r>
          </w:p>
          <w:p w14:paraId="53506568" w14:textId="75013A45" w:rsidR="00FD60FD" w:rsidRPr="005C429C" w:rsidRDefault="00FD60FD" w:rsidP="00B63A86">
            <w:pPr>
              <w:jc w:val="both"/>
              <w:rPr>
                <w:rFonts w:ascii="Times New Roman" w:hAnsi="Times New Roman" w:cs="Times New Roman"/>
              </w:rPr>
            </w:pPr>
            <w:r w:rsidRPr="005C429C">
              <w:rPr>
                <w:rFonts w:ascii="Times New Roman" w:hAnsi="Times New Roman" w:cs="Times New Roman"/>
              </w:rPr>
              <w:t> </w:t>
            </w:r>
          </w:p>
        </w:tc>
        <w:tc>
          <w:tcPr>
            <w:tcW w:w="421" w:type="pct"/>
            <w:vMerge w:val="restart"/>
            <w:noWrap/>
            <w:hideMark/>
          </w:tcPr>
          <w:p w14:paraId="2375EDBE"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116 weeks</w:t>
            </w:r>
          </w:p>
          <w:p w14:paraId="4E4F2125" w14:textId="7E2E5EAC" w:rsidR="00FD60FD" w:rsidRPr="005C429C" w:rsidRDefault="00FD60FD" w:rsidP="00B63A86">
            <w:pPr>
              <w:jc w:val="both"/>
              <w:rPr>
                <w:rFonts w:ascii="Times New Roman" w:hAnsi="Times New Roman" w:cs="Times New Roman"/>
              </w:rPr>
            </w:pPr>
            <w:r w:rsidRPr="005C429C">
              <w:rPr>
                <w:rFonts w:ascii="Times New Roman" w:hAnsi="Times New Roman" w:cs="Times New Roman"/>
              </w:rPr>
              <w:t> </w:t>
            </w:r>
          </w:p>
        </w:tc>
        <w:tc>
          <w:tcPr>
            <w:tcW w:w="1248" w:type="pct"/>
            <w:noWrap/>
            <w:hideMark/>
          </w:tcPr>
          <w:p w14:paraId="4CB76487"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Placebo</w:t>
            </w:r>
          </w:p>
        </w:tc>
        <w:tc>
          <w:tcPr>
            <w:tcW w:w="516" w:type="pct"/>
            <w:noWrap/>
            <w:hideMark/>
          </w:tcPr>
          <w:p w14:paraId="329871F3"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477</w:t>
            </w:r>
          </w:p>
        </w:tc>
        <w:tc>
          <w:tcPr>
            <w:tcW w:w="950" w:type="pct"/>
            <w:noWrap/>
            <w:hideMark/>
          </w:tcPr>
          <w:p w14:paraId="1D584821"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55.8</w:t>
            </w:r>
          </w:p>
        </w:tc>
        <w:tc>
          <w:tcPr>
            <w:tcW w:w="375" w:type="pct"/>
            <w:noWrap/>
            <w:hideMark/>
          </w:tcPr>
          <w:p w14:paraId="5ED3CD16"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44.2</w:t>
            </w:r>
          </w:p>
        </w:tc>
      </w:tr>
      <w:tr w:rsidR="00241C9A" w:rsidRPr="005C429C" w14:paraId="1931C89E" w14:textId="77777777" w:rsidTr="008B293B">
        <w:trPr>
          <w:trHeight w:val="284"/>
        </w:trPr>
        <w:tc>
          <w:tcPr>
            <w:tcW w:w="542" w:type="pct"/>
            <w:vMerge/>
            <w:noWrap/>
            <w:hideMark/>
          </w:tcPr>
          <w:p w14:paraId="203AA8DB" w14:textId="0FCD4132" w:rsidR="00FD60FD" w:rsidRPr="005C429C" w:rsidRDefault="00FD60FD" w:rsidP="00B63A86">
            <w:pPr>
              <w:jc w:val="both"/>
              <w:rPr>
                <w:rFonts w:ascii="Times New Roman" w:hAnsi="Times New Roman" w:cs="Times New Roman"/>
              </w:rPr>
            </w:pPr>
          </w:p>
        </w:tc>
        <w:tc>
          <w:tcPr>
            <w:tcW w:w="551" w:type="pct"/>
            <w:vMerge/>
            <w:noWrap/>
            <w:hideMark/>
          </w:tcPr>
          <w:p w14:paraId="056CA5EA" w14:textId="7FC2F8B3" w:rsidR="00FD60FD" w:rsidRPr="005C429C" w:rsidRDefault="00FD60FD" w:rsidP="00B63A86">
            <w:pPr>
              <w:jc w:val="both"/>
              <w:rPr>
                <w:rFonts w:ascii="Times New Roman" w:hAnsi="Times New Roman" w:cs="Times New Roman"/>
              </w:rPr>
            </w:pPr>
          </w:p>
        </w:tc>
        <w:tc>
          <w:tcPr>
            <w:tcW w:w="396" w:type="pct"/>
            <w:vMerge/>
            <w:noWrap/>
            <w:hideMark/>
          </w:tcPr>
          <w:p w14:paraId="3425B902" w14:textId="6D62762C" w:rsidR="00FD60FD" w:rsidRPr="005C429C" w:rsidRDefault="00FD60FD" w:rsidP="00B63A86">
            <w:pPr>
              <w:jc w:val="both"/>
              <w:rPr>
                <w:rFonts w:ascii="Times New Roman" w:hAnsi="Times New Roman" w:cs="Times New Roman"/>
              </w:rPr>
            </w:pPr>
          </w:p>
        </w:tc>
        <w:tc>
          <w:tcPr>
            <w:tcW w:w="421" w:type="pct"/>
            <w:vMerge/>
            <w:noWrap/>
            <w:hideMark/>
          </w:tcPr>
          <w:p w14:paraId="263741A4" w14:textId="71CB6887" w:rsidR="00FD60FD" w:rsidRPr="005C429C" w:rsidRDefault="00FD60FD" w:rsidP="00B63A86">
            <w:pPr>
              <w:jc w:val="both"/>
              <w:rPr>
                <w:rFonts w:ascii="Times New Roman" w:hAnsi="Times New Roman" w:cs="Times New Roman"/>
              </w:rPr>
            </w:pPr>
          </w:p>
        </w:tc>
        <w:tc>
          <w:tcPr>
            <w:tcW w:w="1248" w:type="pct"/>
            <w:noWrap/>
            <w:hideMark/>
          </w:tcPr>
          <w:p w14:paraId="30DE0818"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510mg biweekly</w:t>
            </w:r>
          </w:p>
        </w:tc>
        <w:tc>
          <w:tcPr>
            <w:tcW w:w="516" w:type="pct"/>
            <w:noWrap/>
            <w:hideMark/>
          </w:tcPr>
          <w:p w14:paraId="50E9608D"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498</w:t>
            </w:r>
          </w:p>
        </w:tc>
        <w:tc>
          <w:tcPr>
            <w:tcW w:w="950" w:type="pct"/>
            <w:noWrap/>
            <w:hideMark/>
          </w:tcPr>
          <w:p w14:paraId="2429E747"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54</w:t>
            </w:r>
          </w:p>
        </w:tc>
        <w:tc>
          <w:tcPr>
            <w:tcW w:w="375" w:type="pct"/>
            <w:noWrap/>
            <w:hideMark/>
          </w:tcPr>
          <w:p w14:paraId="769A5167"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46</w:t>
            </w:r>
          </w:p>
        </w:tc>
      </w:tr>
      <w:tr w:rsidR="00241C9A" w:rsidRPr="005C429C" w14:paraId="63F00066" w14:textId="77777777" w:rsidTr="008B293B">
        <w:trPr>
          <w:trHeight w:val="284"/>
        </w:trPr>
        <w:tc>
          <w:tcPr>
            <w:tcW w:w="542" w:type="pct"/>
            <w:vMerge w:val="restart"/>
            <w:noWrap/>
            <w:hideMark/>
          </w:tcPr>
          <w:p w14:paraId="25EA13F7" w14:textId="2CF72095" w:rsidR="00FD60FD" w:rsidRPr="005C429C" w:rsidRDefault="00FD60FD" w:rsidP="00241C9A">
            <w:pPr>
              <w:jc w:val="both"/>
              <w:rPr>
                <w:rFonts w:ascii="Times New Roman" w:hAnsi="Times New Roman" w:cs="Times New Roman"/>
              </w:rPr>
            </w:pPr>
            <w:r w:rsidRPr="005C429C">
              <w:rPr>
                <w:rFonts w:ascii="Times New Roman" w:hAnsi="Times New Roman" w:cs="Times New Roman"/>
              </w:rPr>
              <w:t>Bapineuzumab 301 </w:t>
            </w:r>
          </w:p>
        </w:tc>
        <w:tc>
          <w:tcPr>
            <w:tcW w:w="551" w:type="pct"/>
            <w:vMerge w:val="restart"/>
            <w:noWrap/>
            <w:hideMark/>
          </w:tcPr>
          <w:p w14:paraId="4A463E15"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NCT00575055</w:t>
            </w:r>
          </w:p>
          <w:p w14:paraId="200CB7E9" w14:textId="03C89714" w:rsidR="00FD60FD" w:rsidRPr="005C429C" w:rsidRDefault="00FD60FD" w:rsidP="00B63A86">
            <w:pPr>
              <w:jc w:val="both"/>
              <w:rPr>
                <w:rFonts w:ascii="Times New Roman" w:hAnsi="Times New Roman" w:cs="Times New Roman"/>
              </w:rPr>
            </w:pPr>
            <w:r w:rsidRPr="005C429C">
              <w:rPr>
                <w:rFonts w:ascii="Times New Roman" w:hAnsi="Times New Roman" w:cs="Times New Roman"/>
              </w:rPr>
              <w:t> </w:t>
            </w:r>
          </w:p>
        </w:tc>
        <w:tc>
          <w:tcPr>
            <w:tcW w:w="396" w:type="pct"/>
            <w:vMerge w:val="restart"/>
            <w:noWrap/>
            <w:hideMark/>
          </w:tcPr>
          <w:p w14:paraId="5799B6E5"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Bapineuzumab</w:t>
            </w:r>
          </w:p>
          <w:p w14:paraId="22F81C92" w14:textId="3F0A65A7" w:rsidR="00FD60FD" w:rsidRPr="005C429C" w:rsidRDefault="00FD60FD" w:rsidP="00B63A86">
            <w:pPr>
              <w:jc w:val="both"/>
              <w:rPr>
                <w:rFonts w:ascii="Times New Roman" w:hAnsi="Times New Roman" w:cs="Times New Roman"/>
              </w:rPr>
            </w:pPr>
            <w:r w:rsidRPr="005C429C">
              <w:rPr>
                <w:rFonts w:ascii="Times New Roman" w:hAnsi="Times New Roman" w:cs="Times New Roman"/>
              </w:rPr>
              <w:t> </w:t>
            </w:r>
          </w:p>
        </w:tc>
        <w:tc>
          <w:tcPr>
            <w:tcW w:w="421" w:type="pct"/>
            <w:vMerge w:val="restart"/>
            <w:noWrap/>
            <w:hideMark/>
          </w:tcPr>
          <w:p w14:paraId="331A453B"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78 weeks</w:t>
            </w:r>
          </w:p>
          <w:p w14:paraId="236CC5FD" w14:textId="11DEB77C" w:rsidR="00FD60FD" w:rsidRPr="005C429C" w:rsidRDefault="00FD60FD" w:rsidP="00B63A86">
            <w:pPr>
              <w:jc w:val="both"/>
              <w:rPr>
                <w:rFonts w:ascii="Times New Roman" w:hAnsi="Times New Roman" w:cs="Times New Roman"/>
              </w:rPr>
            </w:pPr>
            <w:r w:rsidRPr="005C429C">
              <w:rPr>
                <w:rFonts w:ascii="Times New Roman" w:hAnsi="Times New Roman" w:cs="Times New Roman"/>
              </w:rPr>
              <w:t> </w:t>
            </w:r>
          </w:p>
        </w:tc>
        <w:tc>
          <w:tcPr>
            <w:tcW w:w="1248" w:type="pct"/>
            <w:noWrap/>
            <w:hideMark/>
          </w:tcPr>
          <w:p w14:paraId="1EF43030"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Placebo</w:t>
            </w:r>
          </w:p>
        </w:tc>
        <w:tc>
          <w:tcPr>
            <w:tcW w:w="516" w:type="pct"/>
            <w:noWrap/>
            <w:hideMark/>
          </w:tcPr>
          <w:p w14:paraId="18E95A89"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432</w:t>
            </w:r>
          </w:p>
        </w:tc>
        <w:tc>
          <w:tcPr>
            <w:tcW w:w="1326" w:type="pct"/>
            <w:gridSpan w:val="2"/>
            <w:vMerge w:val="restart"/>
            <w:noWrap/>
            <w:hideMark/>
          </w:tcPr>
          <w:p w14:paraId="2F8B69C6"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mild to moderate AD</w:t>
            </w:r>
          </w:p>
          <w:p w14:paraId="12659D82"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 </w:t>
            </w:r>
          </w:p>
          <w:p w14:paraId="4B42FCFB" w14:textId="5F585021" w:rsidR="00FD60FD" w:rsidRPr="005C429C" w:rsidRDefault="00FD60FD" w:rsidP="00B63A86">
            <w:pPr>
              <w:jc w:val="both"/>
              <w:rPr>
                <w:rFonts w:ascii="Times New Roman" w:hAnsi="Times New Roman" w:cs="Times New Roman"/>
              </w:rPr>
            </w:pPr>
            <w:r w:rsidRPr="005C429C">
              <w:rPr>
                <w:rFonts w:ascii="Times New Roman" w:hAnsi="Times New Roman" w:cs="Times New Roman"/>
              </w:rPr>
              <w:t> </w:t>
            </w:r>
          </w:p>
        </w:tc>
      </w:tr>
      <w:tr w:rsidR="00241C9A" w:rsidRPr="005C429C" w14:paraId="50D349D6" w14:textId="77777777" w:rsidTr="008B293B">
        <w:trPr>
          <w:trHeight w:val="284"/>
        </w:trPr>
        <w:tc>
          <w:tcPr>
            <w:tcW w:w="542" w:type="pct"/>
            <w:vMerge/>
            <w:noWrap/>
            <w:hideMark/>
          </w:tcPr>
          <w:p w14:paraId="094C3362" w14:textId="6F22BF8F" w:rsidR="00FD60FD" w:rsidRPr="005C429C" w:rsidRDefault="00FD60FD" w:rsidP="00B63A86">
            <w:pPr>
              <w:jc w:val="both"/>
              <w:rPr>
                <w:rFonts w:ascii="Times New Roman" w:hAnsi="Times New Roman" w:cs="Times New Roman"/>
              </w:rPr>
            </w:pPr>
          </w:p>
        </w:tc>
        <w:tc>
          <w:tcPr>
            <w:tcW w:w="551" w:type="pct"/>
            <w:vMerge/>
            <w:noWrap/>
            <w:hideMark/>
          </w:tcPr>
          <w:p w14:paraId="4B5BE069" w14:textId="32503677" w:rsidR="00FD60FD" w:rsidRPr="005C429C" w:rsidRDefault="00FD60FD" w:rsidP="00B63A86">
            <w:pPr>
              <w:jc w:val="both"/>
              <w:rPr>
                <w:rFonts w:ascii="Times New Roman" w:hAnsi="Times New Roman" w:cs="Times New Roman"/>
              </w:rPr>
            </w:pPr>
          </w:p>
        </w:tc>
        <w:tc>
          <w:tcPr>
            <w:tcW w:w="396" w:type="pct"/>
            <w:vMerge/>
            <w:noWrap/>
            <w:hideMark/>
          </w:tcPr>
          <w:p w14:paraId="1EBD039F" w14:textId="5263BEC0" w:rsidR="00FD60FD" w:rsidRPr="005C429C" w:rsidRDefault="00FD60FD" w:rsidP="00B63A86">
            <w:pPr>
              <w:jc w:val="both"/>
              <w:rPr>
                <w:rFonts w:ascii="Times New Roman" w:hAnsi="Times New Roman" w:cs="Times New Roman"/>
              </w:rPr>
            </w:pPr>
          </w:p>
        </w:tc>
        <w:tc>
          <w:tcPr>
            <w:tcW w:w="421" w:type="pct"/>
            <w:vMerge/>
            <w:noWrap/>
            <w:hideMark/>
          </w:tcPr>
          <w:p w14:paraId="5440BEAE" w14:textId="778B3918" w:rsidR="00FD60FD" w:rsidRPr="005C429C" w:rsidRDefault="00FD60FD" w:rsidP="00B63A86">
            <w:pPr>
              <w:jc w:val="both"/>
              <w:rPr>
                <w:rFonts w:ascii="Times New Roman" w:hAnsi="Times New Roman" w:cs="Times New Roman"/>
              </w:rPr>
            </w:pPr>
          </w:p>
        </w:tc>
        <w:tc>
          <w:tcPr>
            <w:tcW w:w="1248" w:type="pct"/>
            <w:noWrap/>
            <w:hideMark/>
          </w:tcPr>
          <w:p w14:paraId="52E003D5"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0.5 mg/kg</w:t>
            </w:r>
          </w:p>
        </w:tc>
        <w:tc>
          <w:tcPr>
            <w:tcW w:w="516" w:type="pct"/>
            <w:noWrap/>
            <w:hideMark/>
          </w:tcPr>
          <w:p w14:paraId="76FFEE6C"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658</w:t>
            </w:r>
          </w:p>
        </w:tc>
        <w:tc>
          <w:tcPr>
            <w:tcW w:w="1326" w:type="pct"/>
            <w:gridSpan w:val="2"/>
            <w:vMerge/>
            <w:noWrap/>
            <w:hideMark/>
          </w:tcPr>
          <w:p w14:paraId="3CEC5059" w14:textId="064C1341" w:rsidR="00FD60FD" w:rsidRPr="005C429C" w:rsidRDefault="00FD60FD" w:rsidP="00B63A86">
            <w:pPr>
              <w:jc w:val="both"/>
              <w:rPr>
                <w:rFonts w:ascii="Times New Roman" w:hAnsi="Times New Roman" w:cs="Times New Roman"/>
              </w:rPr>
            </w:pPr>
          </w:p>
        </w:tc>
      </w:tr>
      <w:tr w:rsidR="00241C9A" w:rsidRPr="005C429C" w14:paraId="6B270C04" w14:textId="77777777" w:rsidTr="008B293B">
        <w:trPr>
          <w:trHeight w:val="284"/>
        </w:trPr>
        <w:tc>
          <w:tcPr>
            <w:tcW w:w="542" w:type="pct"/>
            <w:vMerge w:val="restart"/>
            <w:noWrap/>
            <w:hideMark/>
          </w:tcPr>
          <w:p w14:paraId="1C14661E" w14:textId="1FA9D11E" w:rsidR="00FD60FD" w:rsidRPr="005C429C" w:rsidRDefault="00FD60FD" w:rsidP="00B63A86">
            <w:pPr>
              <w:jc w:val="both"/>
              <w:rPr>
                <w:rFonts w:ascii="Times New Roman" w:hAnsi="Times New Roman" w:cs="Times New Roman"/>
              </w:rPr>
            </w:pPr>
            <w:r w:rsidRPr="005C429C">
              <w:rPr>
                <w:rFonts w:ascii="Times New Roman" w:hAnsi="Times New Roman" w:cs="Times New Roman"/>
              </w:rPr>
              <w:t>Bapineuzumab 302 </w:t>
            </w:r>
          </w:p>
          <w:p w14:paraId="54C478F9" w14:textId="559E5308" w:rsidR="00FD60FD" w:rsidRPr="005C429C" w:rsidRDefault="00FD60FD" w:rsidP="00B63A86">
            <w:pPr>
              <w:jc w:val="both"/>
              <w:rPr>
                <w:rFonts w:ascii="Times New Roman" w:hAnsi="Times New Roman" w:cs="Times New Roman"/>
              </w:rPr>
            </w:pPr>
            <w:r w:rsidRPr="005C429C">
              <w:rPr>
                <w:rFonts w:ascii="Times New Roman" w:hAnsi="Times New Roman" w:cs="Times New Roman"/>
              </w:rPr>
              <w:t> </w:t>
            </w:r>
          </w:p>
        </w:tc>
        <w:tc>
          <w:tcPr>
            <w:tcW w:w="551" w:type="pct"/>
            <w:vMerge w:val="restart"/>
            <w:noWrap/>
            <w:hideMark/>
          </w:tcPr>
          <w:p w14:paraId="1E3A2751" w14:textId="63F5E10D" w:rsidR="00FD60FD" w:rsidRPr="005C429C" w:rsidRDefault="00FD60FD" w:rsidP="00B63A86">
            <w:pPr>
              <w:jc w:val="both"/>
              <w:rPr>
                <w:rFonts w:ascii="Times New Roman" w:hAnsi="Times New Roman" w:cs="Times New Roman"/>
              </w:rPr>
            </w:pPr>
            <w:r w:rsidRPr="005C429C">
              <w:rPr>
                <w:rFonts w:ascii="Times New Roman" w:hAnsi="Times New Roman" w:cs="Times New Roman"/>
              </w:rPr>
              <w:t>NCT00574132 </w:t>
            </w:r>
          </w:p>
          <w:p w14:paraId="1061C752" w14:textId="38031F6D" w:rsidR="00FD60FD" w:rsidRPr="005C429C" w:rsidRDefault="00FD60FD" w:rsidP="00B63A86">
            <w:pPr>
              <w:jc w:val="both"/>
              <w:rPr>
                <w:rFonts w:ascii="Times New Roman" w:hAnsi="Times New Roman" w:cs="Times New Roman"/>
              </w:rPr>
            </w:pPr>
            <w:r w:rsidRPr="005C429C">
              <w:rPr>
                <w:rFonts w:ascii="Times New Roman" w:hAnsi="Times New Roman" w:cs="Times New Roman"/>
              </w:rPr>
              <w:t> </w:t>
            </w:r>
          </w:p>
        </w:tc>
        <w:tc>
          <w:tcPr>
            <w:tcW w:w="396" w:type="pct"/>
            <w:vMerge w:val="restart"/>
            <w:noWrap/>
            <w:hideMark/>
          </w:tcPr>
          <w:p w14:paraId="21F3CB9F" w14:textId="067BEDE4" w:rsidR="00FD60FD" w:rsidRPr="005C429C" w:rsidRDefault="00FD60FD" w:rsidP="00B63A86">
            <w:pPr>
              <w:jc w:val="both"/>
              <w:rPr>
                <w:rFonts w:ascii="Times New Roman" w:hAnsi="Times New Roman" w:cs="Times New Roman"/>
              </w:rPr>
            </w:pPr>
            <w:r w:rsidRPr="005C429C">
              <w:rPr>
                <w:rFonts w:ascii="Times New Roman" w:hAnsi="Times New Roman" w:cs="Times New Roman"/>
              </w:rPr>
              <w:t>Bapineuzumab</w:t>
            </w:r>
          </w:p>
          <w:p w14:paraId="1228469F" w14:textId="20D75DFF" w:rsidR="00FD60FD" w:rsidRPr="005C429C" w:rsidRDefault="00FD60FD" w:rsidP="00B63A86">
            <w:pPr>
              <w:jc w:val="both"/>
              <w:rPr>
                <w:rFonts w:ascii="Times New Roman" w:hAnsi="Times New Roman" w:cs="Times New Roman"/>
              </w:rPr>
            </w:pPr>
            <w:r w:rsidRPr="005C429C">
              <w:rPr>
                <w:rFonts w:ascii="Times New Roman" w:hAnsi="Times New Roman" w:cs="Times New Roman"/>
              </w:rPr>
              <w:t> </w:t>
            </w:r>
          </w:p>
        </w:tc>
        <w:tc>
          <w:tcPr>
            <w:tcW w:w="421" w:type="pct"/>
            <w:vMerge w:val="restart"/>
            <w:noWrap/>
            <w:hideMark/>
          </w:tcPr>
          <w:p w14:paraId="6DB907A1" w14:textId="5B61F069" w:rsidR="00FD60FD" w:rsidRPr="005C429C" w:rsidRDefault="00FD60FD" w:rsidP="00B63A86">
            <w:pPr>
              <w:jc w:val="both"/>
              <w:rPr>
                <w:rFonts w:ascii="Times New Roman" w:hAnsi="Times New Roman" w:cs="Times New Roman"/>
              </w:rPr>
            </w:pPr>
            <w:r w:rsidRPr="005C429C">
              <w:rPr>
                <w:rFonts w:ascii="Times New Roman" w:hAnsi="Times New Roman" w:cs="Times New Roman"/>
              </w:rPr>
              <w:t>78 weeks </w:t>
            </w:r>
          </w:p>
          <w:p w14:paraId="2E29ED39" w14:textId="6E66ABFD" w:rsidR="00FD60FD" w:rsidRPr="005C429C" w:rsidRDefault="00FD60FD" w:rsidP="00B63A86">
            <w:pPr>
              <w:jc w:val="both"/>
              <w:rPr>
                <w:rFonts w:ascii="Times New Roman" w:hAnsi="Times New Roman" w:cs="Times New Roman"/>
              </w:rPr>
            </w:pPr>
            <w:r w:rsidRPr="005C429C">
              <w:rPr>
                <w:rFonts w:ascii="Times New Roman" w:hAnsi="Times New Roman" w:cs="Times New Roman"/>
              </w:rPr>
              <w:t> </w:t>
            </w:r>
          </w:p>
        </w:tc>
        <w:tc>
          <w:tcPr>
            <w:tcW w:w="1248" w:type="pct"/>
            <w:noWrap/>
            <w:hideMark/>
          </w:tcPr>
          <w:p w14:paraId="197E64AC"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Placebo</w:t>
            </w:r>
          </w:p>
        </w:tc>
        <w:tc>
          <w:tcPr>
            <w:tcW w:w="516" w:type="pct"/>
            <w:noWrap/>
            <w:hideMark/>
          </w:tcPr>
          <w:p w14:paraId="20E8E078"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493</w:t>
            </w:r>
          </w:p>
        </w:tc>
        <w:tc>
          <w:tcPr>
            <w:tcW w:w="1326" w:type="pct"/>
            <w:gridSpan w:val="2"/>
            <w:vMerge w:val="restart"/>
            <w:noWrap/>
            <w:hideMark/>
          </w:tcPr>
          <w:p w14:paraId="6865FE50" w14:textId="2B6BDC79" w:rsidR="00FD60FD" w:rsidRPr="005C429C" w:rsidRDefault="00FD60FD" w:rsidP="00B63A86">
            <w:pPr>
              <w:jc w:val="both"/>
              <w:rPr>
                <w:rFonts w:ascii="Times New Roman" w:hAnsi="Times New Roman" w:cs="Times New Roman"/>
              </w:rPr>
            </w:pPr>
            <w:r w:rsidRPr="005C429C">
              <w:rPr>
                <w:rFonts w:ascii="Times New Roman" w:hAnsi="Times New Roman" w:cs="Times New Roman"/>
              </w:rPr>
              <w:t>mild to moderate A</w:t>
            </w:r>
            <w:r w:rsidR="00241C9A">
              <w:rPr>
                <w:rFonts w:ascii="Times New Roman" w:hAnsi="Times New Roman" w:cs="Times New Roman"/>
              </w:rPr>
              <w:t>D</w:t>
            </w:r>
          </w:p>
          <w:p w14:paraId="66A8207A" w14:textId="0F5308E1" w:rsidR="00FD60FD" w:rsidRPr="005C429C" w:rsidRDefault="00FD60FD" w:rsidP="00B63A86">
            <w:pPr>
              <w:jc w:val="both"/>
              <w:rPr>
                <w:rFonts w:ascii="Times New Roman" w:hAnsi="Times New Roman" w:cs="Times New Roman"/>
              </w:rPr>
            </w:pPr>
            <w:r w:rsidRPr="005C429C">
              <w:rPr>
                <w:rFonts w:ascii="Times New Roman" w:hAnsi="Times New Roman" w:cs="Times New Roman"/>
              </w:rPr>
              <w:t>  </w:t>
            </w:r>
          </w:p>
          <w:p w14:paraId="20F82819" w14:textId="5AF2C9F3" w:rsidR="00FD60FD" w:rsidRPr="005C429C" w:rsidRDefault="00FD60FD" w:rsidP="00B63A86">
            <w:pPr>
              <w:jc w:val="both"/>
              <w:rPr>
                <w:rFonts w:ascii="Times New Roman" w:hAnsi="Times New Roman" w:cs="Times New Roman"/>
              </w:rPr>
            </w:pPr>
            <w:r w:rsidRPr="005C429C">
              <w:rPr>
                <w:rFonts w:ascii="Times New Roman" w:hAnsi="Times New Roman" w:cs="Times New Roman"/>
              </w:rPr>
              <w:t> </w:t>
            </w:r>
          </w:p>
        </w:tc>
      </w:tr>
      <w:tr w:rsidR="00241C9A" w:rsidRPr="005C429C" w14:paraId="19731C03" w14:textId="77777777" w:rsidTr="008B293B">
        <w:trPr>
          <w:trHeight w:val="284"/>
        </w:trPr>
        <w:tc>
          <w:tcPr>
            <w:tcW w:w="542" w:type="pct"/>
            <w:vMerge/>
            <w:noWrap/>
            <w:hideMark/>
          </w:tcPr>
          <w:p w14:paraId="5404D37D" w14:textId="08BF286D" w:rsidR="00FD60FD" w:rsidRPr="005C429C" w:rsidRDefault="00FD60FD" w:rsidP="00B63A86">
            <w:pPr>
              <w:jc w:val="both"/>
              <w:rPr>
                <w:rFonts w:ascii="Times New Roman" w:hAnsi="Times New Roman" w:cs="Times New Roman"/>
              </w:rPr>
            </w:pPr>
          </w:p>
        </w:tc>
        <w:tc>
          <w:tcPr>
            <w:tcW w:w="551" w:type="pct"/>
            <w:vMerge/>
            <w:noWrap/>
            <w:hideMark/>
          </w:tcPr>
          <w:p w14:paraId="58323AC0" w14:textId="56E01009" w:rsidR="00FD60FD" w:rsidRPr="005C429C" w:rsidRDefault="00FD60FD" w:rsidP="00B63A86">
            <w:pPr>
              <w:jc w:val="both"/>
              <w:rPr>
                <w:rFonts w:ascii="Times New Roman" w:hAnsi="Times New Roman" w:cs="Times New Roman"/>
              </w:rPr>
            </w:pPr>
          </w:p>
        </w:tc>
        <w:tc>
          <w:tcPr>
            <w:tcW w:w="396" w:type="pct"/>
            <w:vMerge/>
            <w:noWrap/>
            <w:hideMark/>
          </w:tcPr>
          <w:p w14:paraId="1A04B783" w14:textId="5174A1CD" w:rsidR="00FD60FD" w:rsidRPr="005C429C" w:rsidRDefault="00FD60FD" w:rsidP="00B63A86">
            <w:pPr>
              <w:jc w:val="both"/>
              <w:rPr>
                <w:rFonts w:ascii="Times New Roman" w:hAnsi="Times New Roman" w:cs="Times New Roman"/>
              </w:rPr>
            </w:pPr>
          </w:p>
        </w:tc>
        <w:tc>
          <w:tcPr>
            <w:tcW w:w="421" w:type="pct"/>
            <w:vMerge/>
            <w:noWrap/>
            <w:hideMark/>
          </w:tcPr>
          <w:p w14:paraId="4200D550" w14:textId="57B1BA21" w:rsidR="00FD60FD" w:rsidRPr="005C429C" w:rsidRDefault="00FD60FD" w:rsidP="00B63A86">
            <w:pPr>
              <w:jc w:val="both"/>
              <w:rPr>
                <w:rFonts w:ascii="Times New Roman" w:hAnsi="Times New Roman" w:cs="Times New Roman"/>
              </w:rPr>
            </w:pPr>
          </w:p>
        </w:tc>
        <w:tc>
          <w:tcPr>
            <w:tcW w:w="1248" w:type="pct"/>
            <w:noWrap/>
            <w:hideMark/>
          </w:tcPr>
          <w:p w14:paraId="350424CC"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0.5 mg/kg</w:t>
            </w:r>
          </w:p>
        </w:tc>
        <w:tc>
          <w:tcPr>
            <w:tcW w:w="516" w:type="pct"/>
            <w:noWrap/>
            <w:hideMark/>
          </w:tcPr>
          <w:p w14:paraId="7B046B91"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314</w:t>
            </w:r>
          </w:p>
        </w:tc>
        <w:tc>
          <w:tcPr>
            <w:tcW w:w="1326" w:type="pct"/>
            <w:gridSpan w:val="2"/>
            <w:vMerge/>
            <w:noWrap/>
            <w:hideMark/>
          </w:tcPr>
          <w:p w14:paraId="494FE78E" w14:textId="606EDA69" w:rsidR="00FD60FD" w:rsidRPr="005C429C" w:rsidRDefault="00FD60FD" w:rsidP="00B63A86">
            <w:pPr>
              <w:jc w:val="both"/>
              <w:rPr>
                <w:rFonts w:ascii="Times New Roman" w:hAnsi="Times New Roman" w:cs="Times New Roman"/>
              </w:rPr>
            </w:pPr>
          </w:p>
        </w:tc>
      </w:tr>
      <w:tr w:rsidR="00241C9A" w:rsidRPr="005C429C" w14:paraId="27C8E0D0" w14:textId="77777777" w:rsidTr="008B293B">
        <w:trPr>
          <w:trHeight w:val="284"/>
        </w:trPr>
        <w:tc>
          <w:tcPr>
            <w:tcW w:w="542" w:type="pct"/>
            <w:vMerge/>
            <w:noWrap/>
            <w:hideMark/>
          </w:tcPr>
          <w:p w14:paraId="7006685E" w14:textId="708B55BB" w:rsidR="00FD60FD" w:rsidRPr="005C429C" w:rsidRDefault="00FD60FD" w:rsidP="00B63A86">
            <w:pPr>
              <w:jc w:val="both"/>
              <w:rPr>
                <w:rFonts w:ascii="Times New Roman" w:hAnsi="Times New Roman" w:cs="Times New Roman"/>
              </w:rPr>
            </w:pPr>
          </w:p>
        </w:tc>
        <w:tc>
          <w:tcPr>
            <w:tcW w:w="551" w:type="pct"/>
            <w:vMerge/>
            <w:noWrap/>
            <w:hideMark/>
          </w:tcPr>
          <w:p w14:paraId="40DED0B7" w14:textId="009DC476" w:rsidR="00FD60FD" w:rsidRPr="005C429C" w:rsidRDefault="00FD60FD" w:rsidP="00B63A86">
            <w:pPr>
              <w:jc w:val="both"/>
              <w:rPr>
                <w:rFonts w:ascii="Times New Roman" w:hAnsi="Times New Roman" w:cs="Times New Roman"/>
              </w:rPr>
            </w:pPr>
          </w:p>
        </w:tc>
        <w:tc>
          <w:tcPr>
            <w:tcW w:w="396" w:type="pct"/>
            <w:vMerge/>
            <w:noWrap/>
            <w:hideMark/>
          </w:tcPr>
          <w:p w14:paraId="3EF9CBFB" w14:textId="1B38CDF5" w:rsidR="00FD60FD" w:rsidRPr="005C429C" w:rsidRDefault="00FD60FD" w:rsidP="00B63A86">
            <w:pPr>
              <w:jc w:val="both"/>
              <w:rPr>
                <w:rFonts w:ascii="Times New Roman" w:hAnsi="Times New Roman" w:cs="Times New Roman"/>
              </w:rPr>
            </w:pPr>
          </w:p>
        </w:tc>
        <w:tc>
          <w:tcPr>
            <w:tcW w:w="421" w:type="pct"/>
            <w:vMerge/>
            <w:noWrap/>
            <w:hideMark/>
          </w:tcPr>
          <w:p w14:paraId="10132B50" w14:textId="2BDC0D8D" w:rsidR="00FD60FD" w:rsidRPr="005C429C" w:rsidRDefault="00FD60FD" w:rsidP="00B63A86">
            <w:pPr>
              <w:jc w:val="both"/>
              <w:rPr>
                <w:rFonts w:ascii="Times New Roman" w:hAnsi="Times New Roman" w:cs="Times New Roman"/>
              </w:rPr>
            </w:pPr>
          </w:p>
        </w:tc>
        <w:tc>
          <w:tcPr>
            <w:tcW w:w="1248" w:type="pct"/>
            <w:noWrap/>
            <w:hideMark/>
          </w:tcPr>
          <w:p w14:paraId="4A714858"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1 mg/kg</w:t>
            </w:r>
          </w:p>
        </w:tc>
        <w:tc>
          <w:tcPr>
            <w:tcW w:w="516" w:type="pct"/>
            <w:noWrap/>
            <w:hideMark/>
          </w:tcPr>
          <w:p w14:paraId="76F13F38"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307</w:t>
            </w:r>
          </w:p>
        </w:tc>
        <w:tc>
          <w:tcPr>
            <w:tcW w:w="1326" w:type="pct"/>
            <w:gridSpan w:val="2"/>
            <w:vMerge/>
            <w:noWrap/>
            <w:hideMark/>
          </w:tcPr>
          <w:p w14:paraId="1AA785E8" w14:textId="27E6AD9E" w:rsidR="00FD60FD" w:rsidRPr="005C429C" w:rsidRDefault="00FD60FD" w:rsidP="00B63A86">
            <w:pPr>
              <w:jc w:val="both"/>
              <w:rPr>
                <w:rFonts w:ascii="Times New Roman" w:hAnsi="Times New Roman" w:cs="Times New Roman"/>
              </w:rPr>
            </w:pPr>
          </w:p>
        </w:tc>
      </w:tr>
      <w:tr w:rsidR="00241C9A" w:rsidRPr="005C429C" w14:paraId="32A2DB9C" w14:textId="77777777" w:rsidTr="008B293B">
        <w:trPr>
          <w:trHeight w:val="284"/>
        </w:trPr>
        <w:tc>
          <w:tcPr>
            <w:tcW w:w="542" w:type="pct"/>
            <w:vMerge w:val="restart"/>
            <w:noWrap/>
            <w:hideMark/>
          </w:tcPr>
          <w:p w14:paraId="606542A2" w14:textId="50C82F55" w:rsidR="00FD60FD" w:rsidRPr="005C429C" w:rsidRDefault="00FD60FD" w:rsidP="00241C9A">
            <w:pPr>
              <w:jc w:val="both"/>
              <w:rPr>
                <w:rFonts w:ascii="Times New Roman" w:hAnsi="Times New Roman" w:cs="Times New Roman"/>
              </w:rPr>
            </w:pPr>
            <w:r w:rsidRPr="005C429C">
              <w:rPr>
                <w:rFonts w:ascii="Times New Roman" w:hAnsi="Times New Roman" w:cs="Times New Roman"/>
              </w:rPr>
              <w:t>Study 3000 </w:t>
            </w:r>
          </w:p>
        </w:tc>
        <w:tc>
          <w:tcPr>
            <w:tcW w:w="551" w:type="pct"/>
            <w:vMerge w:val="restart"/>
            <w:noWrap/>
            <w:hideMark/>
          </w:tcPr>
          <w:p w14:paraId="54B011DA"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NCT00667810</w:t>
            </w:r>
          </w:p>
          <w:p w14:paraId="27BA2E19" w14:textId="01A9CD63" w:rsidR="00FD60FD" w:rsidRPr="005C429C" w:rsidRDefault="00FD60FD" w:rsidP="00B63A86">
            <w:pPr>
              <w:jc w:val="both"/>
              <w:rPr>
                <w:rFonts w:ascii="Times New Roman" w:hAnsi="Times New Roman" w:cs="Times New Roman"/>
              </w:rPr>
            </w:pPr>
            <w:r w:rsidRPr="005C429C">
              <w:rPr>
                <w:rFonts w:ascii="Times New Roman" w:hAnsi="Times New Roman" w:cs="Times New Roman"/>
              </w:rPr>
              <w:t> </w:t>
            </w:r>
          </w:p>
        </w:tc>
        <w:tc>
          <w:tcPr>
            <w:tcW w:w="396" w:type="pct"/>
            <w:vMerge w:val="restart"/>
            <w:noWrap/>
            <w:hideMark/>
          </w:tcPr>
          <w:p w14:paraId="2C87487B" w14:textId="5750C8E8" w:rsidR="00FD60FD" w:rsidRPr="005C429C" w:rsidRDefault="00FD60FD" w:rsidP="00241C9A">
            <w:pPr>
              <w:jc w:val="both"/>
              <w:rPr>
                <w:rFonts w:ascii="Times New Roman" w:hAnsi="Times New Roman" w:cs="Times New Roman"/>
              </w:rPr>
            </w:pPr>
            <w:r w:rsidRPr="005C429C">
              <w:rPr>
                <w:rFonts w:ascii="Times New Roman" w:hAnsi="Times New Roman" w:cs="Times New Roman"/>
              </w:rPr>
              <w:t>Bapineuzumab </w:t>
            </w:r>
          </w:p>
        </w:tc>
        <w:tc>
          <w:tcPr>
            <w:tcW w:w="421" w:type="pct"/>
            <w:vMerge w:val="restart"/>
            <w:noWrap/>
            <w:hideMark/>
          </w:tcPr>
          <w:p w14:paraId="358105AB"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78 weeks</w:t>
            </w:r>
          </w:p>
          <w:p w14:paraId="5CF45087" w14:textId="31C336CE" w:rsidR="00FD60FD" w:rsidRPr="005C429C" w:rsidRDefault="00FD60FD" w:rsidP="00B63A86">
            <w:pPr>
              <w:jc w:val="both"/>
              <w:rPr>
                <w:rFonts w:ascii="Times New Roman" w:hAnsi="Times New Roman" w:cs="Times New Roman"/>
              </w:rPr>
            </w:pPr>
            <w:r w:rsidRPr="005C429C">
              <w:rPr>
                <w:rFonts w:ascii="Times New Roman" w:hAnsi="Times New Roman" w:cs="Times New Roman"/>
              </w:rPr>
              <w:t> </w:t>
            </w:r>
          </w:p>
        </w:tc>
        <w:tc>
          <w:tcPr>
            <w:tcW w:w="1248" w:type="pct"/>
            <w:noWrap/>
            <w:hideMark/>
          </w:tcPr>
          <w:p w14:paraId="23C22D93"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Placebo</w:t>
            </w:r>
          </w:p>
        </w:tc>
        <w:tc>
          <w:tcPr>
            <w:tcW w:w="516" w:type="pct"/>
            <w:noWrap/>
            <w:hideMark/>
          </w:tcPr>
          <w:p w14:paraId="6B5B34C5"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431</w:t>
            </w:r>
          </w:p>
        </w:tc>
        <w:tc>
          <w:tcPr>
            <w:tcW w:w="1326" w:type="pct"/>
            <w:gridSpan w:val="2"/>
            <w:vMerge w:val="restart"/>
            <w:noWrap/>
            <w:hideMark/>
          </w:tcPr>
          <w:p w14:paraId="250457A3" w14:textId="0A7958EB" w:rsidR="00FD60FD" w:rsidRPr="005C429C" w:rsidRDefault="00FD60FD" w:rsidP="00FD60FD">
            <w:pPr>
              <w:jc w:val="both"/>
              <w:rPr>
                <w:rFonts w:ascii="Times New Roman" w:hAnsi="Times New Roman" w:cs="Times New Roman"/>
              </w:rPr>
            </w:pPr>
            <w:r w:rsidRPr="005C429C">
              <w:rPr>
                <w:rFonts w:ascii="Times New Roman" w:hAnsi="Times New Roman" w:cs="Times New Roman"/>
              </w:rPr>
              <w:t>mild to moderate AD </w:t>
            </w:r>
          </w:p>
        </w:tc>
      </w:tr>
      <w:tr w:rsidR="00241C9A" w:rsidRPr="005C429C" w14:paraId="77C32BFE" w14:textId="77777777" w:rsidTr="008B293B">
        <w:trPr>
          <w:trHeight w:val="284"/>
        </w:trPr>
        <w:tc>
          <w:tcPr>
            <w:tcW w:w="542" w:type="pct"/>
            <w:vMerge/>
            <w:noWrap/>
            <w:hideMark/>
          </w:tcPr>
          <w:p w14:paraId="2CCFCFE2" w14:textId="1399FE53" w:rsidR="00FD60FD" w:rsidRPr="005C429C" w:rsidRDefault="00FD60FD" w:rsidP="00B63A86">
            <w:pPr>
              <w:jc w:val="both"/>
              <w:rPr>
                <w:rFonts w:ascii="Times New Roman" w:hAnsi="Times New Roman" w:cs="Times New Roman"/>
              </w:rPr>
            </w:pPr>
          </w:p>
        </w:tc>
        <w:tc>
          <w:tcPr>
            <w:tcW w:w="551" w:type="pct"/>
            <w:vMerge/>
            <w:noWrap/>
            <w:hideMark/>
          </w:tcPr>
          <w:p w14:paraId="3B66CD45" w14:textId="5FDA4C5A" w:rsidR="00FD60FD" w:rsidRPr="005C429C" w:rsidRDefault="00FD60FD" w:rsidP="00B63A86">
            <w:pPr>
              <w:jc w:val="both"/>
              <w:rPr>
                <w:rFonts w:ascii="Times New Roman" w:hAnsi="Times New Roman" w:cs="Times New Roman"/>
              </w:rPr>
            </w:pPr>
          </w:p>
        </w:tc>
        <w:tc>
          <w:tcPr>
            <w:tcW w:w="396" w:type="pct"/>
            <w:vMerge/>
            <w:noWrap/>
            <w:hideMark/>
          </w:tcPr>
          <w:p w14:paraId="71DDA46F" w14:textId="25B0D4DA" w:rsidR="00FD60FD" w:rsidRPr="005C429C" w:rsidRDefault="00FD60FD" w:rsidP="00B63A86">
            <w:pPr>
              <w:jc w:val="both"/>
              <w:rPr>
                <w:rFonts w:ascii="Times New Roman" w:hAnsi="Times New Roman" w:cs="Times New Roman"/>
              </w:rPr>
            </w:pPr>
          </w:p>
        </w:tc>
        <w:tc>
          <w:tcPr>
            <w:tcW w:w="421" w:type="pct"/>
            <w:vMerge/>
            <w:noWrap/>
            <w:hideMark/>
          </w:tcPr>
          <w:p w14:paraId="5EFA2464" w14:textId="62216087" w:rsidR="00FD60FD" w:rsidRPr="005C429C" w:rsidRDefault="00FD60FD" w:rsidP="00B63A86">
            <w:pPr>
              <w:jc w:val="both"/>
              <w:rPr>
                <w:rFonts w:ascii="Times New Roman" w:hAnsi="Times New Roman" w:cs="Times New Roman"/>
              </w:rPr>
            </w:pPr>
          </w:p>
        </w:tc>
        <w:tc>
          <w:tcPr>
            <w:tcW w:w="1248" w:type="pct"/>
            <w:noWrap/>
            <w:hideMark/>
          </w:tcPr>
          <w:p w14:paraId="3D530A16"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0.5 mg/kg</w:t>
            </w:r>
          </w:p>
        </w:tc>
        <w:tc>
          <w:tcPr>
            <w:tcW w:w="516" w:type="pct"/>
            <w:noWrap/>
            <w:hideMark/>
          </w:tcPr>
          <w:p w14:paraId="35B6CE33"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650</w:t>
            </w:r>
          </w:p>
        </w:tc>
        <w:tc>
          <w:tcPr>
            <w:tcW w:w="1326" w:type="pct"/>
            <w:gridSpan w:val="2"/>
            <w:vMerge/>
            <w:noWrap/>
            <w:hideMark/>
          </w:tcPr>
          <w:p w14:paraId="522BDCD1" w14:textId="09D71A88" w:rsidR="00FD60FD" w:rsidRPr="005C429C" w:rsidRDefault="00FD60FD" w:rsidP="00B63A86">
            <w:pPr>
              <w:jc w:val="both"/>
              <w:rPr>
                <w:rFonts w:ascii="Times New Roman" w:hAnsi="Times New Roman" w:cs="Times New Roman"/>
              </w:rPr>
            </w:pPr>
          </w:p>
        </w:tc>
      </w:tr>
      <w:tr w:rsidR="00241C9A" w:rsidRPr="005C429C" w14:paraId="0CE8741B" w14:textId="77777777" w:rsidTr="008B293B">
        <w:trPr>
          <w:trHeight w:val="284"/>
        </w:trPr>
        <w:tc>
          <w:tcPr>
            <w:tcW w:w="542" w:type="pct"/>
            <w:vMerge w:val="restart"/>
            <w:noWrap/>
            <w:hideMark/>
          </w:tcPr>
          <w:p w14:paraId="793F6B66" w14:textId="2ACCBC01" w:rsidR="00FD60FD" w:rsidRPr="005C429C" w:rsidRDefault="00FD60FD" w:rsidP="00B63A86">
            <w:pPr>
              <w:jc w:val="both"/>
              <w:rPr>
                <w:rFonts w:ascii="Times New Roman" w:hAnsi="Times New Roman" w:cs="Times New Roman"/>
              </w:rPr>
            </w:pPr>
            <w:r w:rsidRPr="005C429C">
              <w:rPr>
                <w:rFonts w:ascii="Times New Roman" w:hAnsi="Times New Roman" w:cs="Times New Roman"/>
              </w:rPr>
              <w:t>Study 3001 </w:t>
            </w:r>
          </w:p>
          <w:p w14:paraId="157BA8F6" w14:textId="11083359" w:rsidR="00FD60FD" w:rsidRPr="005C429C" w:rsidRDefault="00FD60FD" w:rsidP="00B63A86">
            <w:pPr>
              <w:jc w:val="both"/>
              <w:rPr>
                <w:rFonts w:ascii="Times New Roman" w:hAnsi="Times New Roman" w:cs="Times New Roman"/>
              </w:rPr>
            </w:pPr>
            <w:r w:rsidRPr="005C429C">
              <w:rPr>
                <w:rFonts w:ascii="Times New Roman" w:hAnsi="Times New Roman" w:cs="Times New Roman"/>
              </w:rPr>
              <w:t> </w:t>
            </w:r>
          </w:p>
        </w:tc>
        <w:tc>
          <w:tcPr>
            <w:tcW w:w="551" w:type="pct"/>
            <w:vMerge w:val="restart"/>
            <w:noWrap/>
            <w:hideMark/>
          </w:tcPr>
          <w:p w14:paraId="66AD5829"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NCT00676143</w:t>
            </w:r>
          </w:p>
          <w:p w14:paraId="231C032C"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 </w:t>
            </w:r>
          </w:p>
          <w:p w14:paraId="440D983E" w14:textId="04B28681" w:rsidR="00FD60FD" w:rsidRPr="005C429C" w:rsidRDefault="00FD60FD" w:rsidP="00B63A86">
            <w:pPr>
              <w:jc w:val="both"/>
              <w:rPr>
                <w:rFonts w:ascii="Times New Roman" w:hAnsi="Times New Roman" w:cs="Times New Roman"/>
              </w:rPr>
            </w:pPr>
            <w:r w:rsidRPr="005C429C">
              <w:rPr>
                <w:rFonts w:ascii="Times New Roman" w:hAnsi="Times New Roman" w:cs="Times New Roman"/>
              </w:rPr>
              <w:t> </w:t>
            </w:r>
          </w:p>
        </w:tc>
        <w:tc>
          <w:tcPr>
            <w:tcW w:w="396" w:type="pct"/>
            <w:vMerge w:val="restart"/>
            <w:noWrap/>
            <w:hideMark/>
          </w:tcPr>
          <w:p w14:paraId="7C18BD3E" w14:textId="76292D77" w:rsidR="00FD60FD" w:rsidRPr="005C429C" w:rsidRDefault="00FD60FD" w:rsidP="00B63A86">
            <w:pPr>
              <w:jc w:val="both"/>
              <w:rPr>
                <w:rFonts w:ascii="Times New Roman" w:hAnsi="Times New Roman" w:cs="Times New Roman"/>
              </w:rPr>
            </w:pPr>
            <w:r w:rsidRPr="005C429C">
              <w:rPr>
                <w:rFonts w:ascii="Times New Roman" w:hAnsi="Times New Roman" w:cs="Times New Roman"/>
              </w:rPr>
              <w:t>Bapineuzumab</w:t>
            </w:r>
          </w:p>
          <w:p w14:paraId="5896692D" w14:textId="5C20EF14" w:rsidR="00FD60FD" w:rsidRPr="005C429C" w:rsidRDefault="00FD60FD" w:rsidP="00B63A86">
            <w:pPr>
              <w:jc w:val="both"/>
              <w:rPr>
                <w:rFonts w:ascii="Times New Roman" w:hAnsi="Times New Roman" w:cs="Times New Roman"/>
              </w:rPr>
            </w:pPr>
            <w:r w:rsidRPr="005C429C">
              <w:rPr>
                <w:rFonts w:ascii="Times New Roman" w:hAnsi="Times New Roman" w:cs="Times New Roman"/>
              </w:rPr>
              <w:t> </w:t>
            </w:r>
          </w:p>
        </w:tc>
        <w:tc>
          <w:tcPr>
            <w:tcW w:w="421" w:type="pct"/>
            <w:vMerge w:val="restart"/>
            <w:noWrap/>
            <w:hideMark/>
          </w:tcPr>
          <w:p w14:paraId="229635D6"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78 weeks</w:t>
            </w:r>
          </w:p>
          <w:p w14:paraId="779C26E2"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 </w:t>
            </w:r>
          </w:p>
          <w:p w14:paraId="1D4DB758" w14:textId="3C8CABA1" w:rsidR="00FD60FD" w:rsidRPr="005C429C" w:rsidRDefault="00FD60FD" w:rsidP="00B63A86">
            <w:pPr>
              <w:jc w:val="both"/>
              <w:rPr>
                <w:rFonts w:ascii="Times New Roman" w:hAnsi="Times New Roman" w:cs="Times New Roman"/>
              </w:rPr>
            </w:pPr>
            <w:r w:rsidRPr="005C429C">
              <w:rPr>
                <w:rFonts w:ascii="Times New Roman" w:hAnsi="Times New Roman" w:cs="Times New Roman"/>
              </w:rPr>
              <w:t> </w:t>
            </w:r>
          </w:p>
        </w:tc>
        <w:tc>
          <w:tcPr>
            <w:tcW w:w="1248" w:type="pct"/>
            <w:noWrap/>
            <w:hideMark/>
          </w:tcPr>
          <w:p w14:paraId="497F7632"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Placebo</w:t>
            </w:r>
          </w:p>
        </w:tc>
        <w:tc>
          <w:tcPr>
            <w:tcW w:w="516" w:type="pct"/>
            <w:noWrap/>
            <w:hideMark/>
          </w:tcPr>
          <w:p w14:paraId="39E64417"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328</w:t>
            </w:r>
          </w:p>
        </w:tc>
        <w:tc>
          <w:tcPr>
            <w:tcW w:w="1326" w:type="pct"/>
            <w:gridSpan w:val="2"/>
            <w:vMerge w:val="restart"/>
            <w:noWrap/>
            <w:hideMark/>
          </w:tcPr>
          <w:p w14:paraId="56A150A7" w14:textId="6682157F" w:rsidR="00FD60FD" w:rsidRPr="005C429C" w:rsidRDefault="00FD60FD" w:rsidP="00B63A86">
            <w:pPr>
              <w:jc w:val="both"/>
              <w:rPr>
                <w:rFonts w:ascii="Times New Roman" w:hAnsi="Times New Roman" w:cs="Times New Roman"/>
              </w:rPr>
            </w:pPr>
            <w:r w:rsidRPr="005C429C">
              <w:rPr>
                <w:rFonts w:ascii="Times New Roman" w:hAnsi="Times New Roman" w:cs="Times New Roman"/>
              </w:rPr>
              <w:t>mild to moderate AD </w:t>
            </w:r>
          </w:p>
          <w:p w14:paraId="059FFDB0"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 </w:t>
            </w:r>
          </w:p>
          <w:p w14:paraId="51CEFDB9" w14:textId="65D40A20" w:rsidR="00FD60FD" w:rsidRPr="005C429C" w:rsidRDefault="00FD60FD" w:rsidP="00B63A86">
            <w:pPr>
              <w:jc w:val="both"/>
              <w:rPr>
                <w:rFonts w:ascii="Times New Roman" w:hAnsi="Times New Roman" w:cs="Times New Roman"/>
              </w:rPr>
            </w:pPr>
            <w:r w:rsidRPr="005C429C">
              <w:rPr>
                <w:rFonts w:ascii="Times New Roman" w:hAnsi="Times New Roman" w:cs="Times New Roman"/>
              </w:rPr>
              <w:t> </w:t>
            </w:r>
          </w:p>
        </w:tc>
      </w:tr>
      <w:tr w:rsidR="00241C9A" w:rsidRPr="005C429C" w14:paraId="2411C609" w14:textId="77777777" w:rsidTr="008B293B">
        <w:trPr>
          <w:trHeight w:val="284"/>
        </w:trPr>
        <w:tc>
          <w:tcPr>
            <w:tcW w:w="542" w:type="pct"/>
            <w:vMerge/>
            <w:noWrap/>
            <w:hideMark/>
          </w:tcPr>
          <w:p w14:paraId="4CBAF7BD" w14:textId="2B3210C1" w:rsidR="00FD60FD" w:rsidRPr="005C429C" w:rsidRDefault="00FD60FD" w:rsidP="00B63A86">
            <w:pPr>
              <w:jc w:val="both"/>
              <w:rPr>
                <w:rFonts w:ascii="Times New Roman" w:hAnsi="Times New Roman" w:cs="Times New Roman"/>
              </w:rPr>
            </w:pPr>
          </w:p>
        </w:tc>
        <w:tc>
          <w:tcPr>
            <w:tcW w:w="551" w:type="pct"/>
            <w:vMerge/>
            <w:noWrap/>
            <w:hideMark/>
          </w:tcPr>
          <w:p w14:paraId="3BBEF5E3" w14:textId="4FC57F31" w:rsidR="00FD60FD" w:rsidRPr="005C429C" w:rsidRDefault="00FD60FD" w:rsidP="00B63A86">
            <w:pPr>
              <w:jc w:val="both"/>
              <w:rPr>
                <w:rFonts w:ascii="Times New Roman" w:hAnsi="Times New Roman" w:cs="Times New Roman"/>
              </w:rPr>
            </w:pPr>
          </w:p>
        </w:tc>
        <w:tc>
          <w:tcPr>
            <w:tcW w:w="396" w:type="pct"/>
            <w:vMerge/>
            <w:noWrap/>
            <w:hideMark/>
          </w:tcPr>
          <w:p w14:paraId="27EBD258" w14:textId="11A2D4DC" w:rsidR="00FD60FD" w:rsidRPr="005C429C" w:rsidRDefault="00FD60FD" w:rsidP="00B63A86">
            <w:pPr>
              <w:jc w:val="both"/>
              <w:rPr>
                <w:rFonts w:ascii="Times New Roman" w:hAnsi="Times New Roman" w:cs="Times New Roman"/>
              </w:rPr>
            </w:pPr>
          </w:p>
        </w:tc>
        <w:tc>
          <w:tcPr>
            <w:tcW w:w="421" w:type="pct"/>
            <w:vMerge/>
            <w:noWrap/>
            <w:hideMark/>
          </w:tcPr>
          <w:p w14:paraId="1CF13B62" w14:textId="5B673CD9" w:rsidR="00FD60FD" w:rsidRPr="005C429C" w:rsidRDefault="00FD60FD" w:rsidP="00B63A86">
            <w:pPr>
              <w:jc w:val="both"/>
              <w:rPr>
                <w:rFonts w:ascii="Times New Roman" w:hAnsi="Times New Roman" w:cs="Times New Roman"/>
              </w:rPr>
            </w:pPr>
          </w:p>
        </w:tc>
        <w:tc>
          <w:tcPr>
            <w:tcW w:w="1248" w:type="pct"/>
            <w:noWrap/>
            <w:hideMark/>
          </w:tcPr>
          <w:p w14:paraId="6D7FE807"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0.5 mg/kg</w:t>
            </w:r>
          </w:p>
        </w:tc>
        <w:tc>
          <w:tcPr>
            <w:tcW w:w="516" w:type="pct"/>
            <w:noWrap/>
            <w:hideMark/>
          </w:tcPr>
          <w:p w14:paraId="5EF5550B"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255</w:t>
            </w:r>
          </w:p>
        </w:tc>
        <w:tc>
          <w:tcPr>
            <w:tcW w:w="1326" w:type="pct"/>
            <w:gridSpan w:val="2"/>
            <w:vMerge/>
            <w:noWrap/>
            <w:hideMark/>
          </w:tcPr>
          <w:p w14:paraId="32A2A146" w14:textId="4B6521D2" w:rsidR="00FD60FD" w:rsidRPr="005C429C" w:rsidRDefault="00FD60FD" w:rsidP="00B63A86">
            <w:pPr>
              <w:jc w:val="both"/>
              <w:rPr>
                <w:rFonts w:ascii="Times New Roman" w:hAnsi="Times New Roman" w:cs="Times New Roman"/>
              </w:rPr>
            </w:pPr>
          </w:p>
        </w:tc>
      </w:tr>
      <w:tr w:rsidR="00241C9A" w:rsidRPr="005C429C" w14:paraId="73713009" w14:textId="77777777" w:rsidTr="008B293B">
        <w:trPr>
          <w:trHeight w:val="284"/>
        </w:trPr>
        <w:tc>
          <w:tcPr>
            <w:tcW w:w="542" w:type="pct"/>
            <w:vMerge/>
            <w:noWrap/>
            <w:hideMark/>
          </w:tcPr>
          <w:p w14:paraId="58E7054F" w14:textId="30E00565" w:rsidR="00FD60FD" w:rsidRPr="005C429C" w:rsidRDefault="00FD60FD" w:rsidP="00B63A86">
            <w:pPr>
              <w:jc w:val="both"/>
              <w:rPr>
                <w:rFonts w:ascii="Times New Roman" w:hAnsi="Times New Roman" w:cs="Times New Roman"/>
              </w:rPr>
            </w:pPr>
          </w:p>
        </w:tc>
        <w:tc>
          <w:tcPr>
            <w:tcW w:w="551" w:type="pct"/>
            <w:vMerge/>
            <w:noWrap/>
            <w:hideMark/>
          </w:tcPr>
          <w:p w14:paraId="31C390D3" w14:textId="52A301DC" w:rsidR="00FD60FD" w:rsidRPr="005C429C" w:rsidRDefault="00FD60FD" w:rsidP="00B63A86">
            <w:pPr>
              <w:jc w:val="both"/>
              <w:rPr>
                <w:rFonts w:ascii="Times New Roman" w:hAnsi="Times New Roman" w:cs="Times New Roman"/>
              </w:rPr>
            </w:pPr>
          </w:p>
        </w:tc>
        <w:tc>
          <w:tcPr>
            <w:tcW w:w="396" w:type="pct"/>
            <w:vMerge/>
            <w:noWrap/>
            <w:hideMark/>
          </w:tcPr>
          <w:p w14:paraId="3697C26C" w14:textId="3BD8681C" w:rsidR="00FD60FD" w:rsidRPr="005C429C" w:rsidRDefault="00FD60FD" w:rsidP="00B63A86">
            <w:pPr>
              <w:jc w:val="both"/>
              <w:rPr>
                <w:rFonts w:ascii="Times New Roman" w:hAnsi="Times New Roman" w:cs="Times New Roman"/>
              </w:rPr>
            </w:pPr>
          </w:p>
        </w:tc>
        <w:tc>
          <w:tcPr>
            <w:tcW w:w="421" w:type="pct"/>
            <w:vMerge/>
            <w:noWrap/>
            <w:hideMark/>
          </w:tcPr>
          <w:p w14:paraId="770A85EB" w14:textId="47A5D8E3" w:rsidR="00FD60FD" w:rsidRPr="005C429C" w:rsidRDefault="00FD60FD" w:rsidP="00B63A86">
            <w:pPr>
              <w:jc w:val="both"/>
              <w:rPr>
                <w:rFonts w:ascii="Times New Roman" w:hAnsi="Times New Roman" w:cs="Times New Roman"/>
              </w:rPr>
            </w:pPr>
          </w:p>
        </w:tc>
        <w:tc>
          <w:tcPr>
            <w:tcW w:w="1248" w:type="pct"/>
            <w:noWrap/>
            <w:hideMark/>
          </w:tcPr>
          <w:p w14:paraId="69C07CA8"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1 mg/kg</w:t>
            </w:r>
          </w:p>
        </w:tc>
        <w:tc>
          <w:tcPr>
            <w:tcW w:w="516" w:type="pct"/>
            <w:noWrap/>
            <w:hideMark/>
          </w:tcPr>
          <w:p w14:paraId="187B35A4"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253</w:t>
            </w:r>
          </w:p>
        </w:tc>
        <w:tc>
          <w:tcPr>
            <w:tcW w:w="1326" w:type="pct"/>
            <w:gridSpan w:val="2"/>
            <w:vMerge/>
            <w:noWrap/>
            <w:hideMark/>
          </w:tcPr>
          <w:p w14:paraId="3A65EE3B" w14:textId="7D74DEA6" w:rsidR="00FD60FD" w:rsidRPr="005C429C" w:rsidRDefault="00FD60FD" w:rsidP="00B63A86">
            <w:pPr>
              <w:jc w:val="both"/>
              <w:rPr>
                <w:rFonts w:ascii="Times New Roman" w:hAnsi="Times New Roman" w:cs="Times New Roman"/>
              </w:rPr>
            </w:pPr>
          </w:p>
        </w:tc>
      </w:tr>
      <w:tr w:rsidR="00241C9A" w:rsidRPr="005C429C" w14:paraId="393E986E" w14:textId="77777777" w:rsidTr="008B293B">
        <w:trPr>
          <w:trHeight w:val="284"/>
        </w:trPr>
        <w:tc>
          <w:tcPr>
            <w:tcW w:w="542" w:type="pct"/>
            <w:vMerge w:val="restart"/>
            <w:noWrap/>
            <w:vAlign w:val="center"/>
          </w:tcPr>
          <w:p w14:paraId="4357595B" w14:textId="627C1ED3" w:rsidR="008B293B" w:rsidRPr="005C429C" w:rsidRDefault="008B293B" w:rsidP="00241C9A">
            <w:pPr>
              <w:jc w:val="both"/>
              <w:rPr>
                <w:rFonts w:ascii="Times New Roman" w:hAnsi="Times New Roman" w:cs="Times New Roman"/>
              </w:rPr>
            </w:pPr>
            <w:r w:rsidRPr="005C429C">
              <w:rPr>
                <w:rFonts w:ascii="Times New Roman" w:hAnsi="Times New Roman" w:cs="Times New Roman"/>
                <w:color w:val="000000"/>
              </w:rPr>
              <w:t>Brody 2016</w:t>
            </w:r>
          </w:p>
        </w:tc>
        <w:tc>
          <w:tcPr>
            <w:tcW w:w="551" w:type="pct"/>
            <w:vMerge w:val="restart"/>
            <w:noWrap/>
            <w:vAlign w:val="center"/>
          </w:tcPr>
          <w:p w14:paraId="090BBF3F" w14:textId="71256815" w:rsidR="008B293B" w:rsidRPr="005C429C" w:rsidRDefault="008B293B" w:rsidP="00241C9A">
            <w:pPr>
              <w:jc w:val="both"/>
              <w:rPr>
                <w:rFonts w:ascii="Times New Roman" w:hAnsi="Times New Roman" w:cs="Times New Roman"/>
              </w:rPr>
            </w:pPr>
            <w:r w:rsidRPr="005C429C">
              <w:rPr>
                <w:rFonts w:ascii="Times New Roman" w:hAnsi="Times New Roman" w:cs="Times New Roman"/>
                <w:color w:val="000000"/>
              </w:rPr>
              <w:t>NCT01254773 </w:t>
            </w:r>
          </w:p>
        </w:tc>
        <w:tc>
          <w:tcPr>
            <w:tcW w:w="396" w:type="pct"/>
            <w:vMerge w:val="restart"/>
            <w:noWrap/>
            <w:vAlign w:val="bottom"/>
          </w:tcPr>
          <w:p w14:paraId="22B4766E" w14:textId="1447C165" w:rsidR="008B293B" w:rsidRPr="005C429C" w:rsidRDefault="008B293B" w:rsidP="00241C9A">
            <w:pPr>
              <w:jc w:val="both"/>
              <w:rPr>
                <w:rFonts w:ascii="Times New Roman" w:hAnsi="Times New Roman" w:cs="Times New Roman"/>
              </w:rPr>
            </w:pPr>
            <w:r w:rsidRPr="005C429C">
              <w:rPr>
                <w:rFonts w:ascii="Times New Roman" w:hAnsi="Times New Roman" w:cs="Times New Roman"/>
                <w:color w:val="171716"/>
              </w:rPr>
              <w:t>Bapineuzumab</w:t>
            </w:r>
          </w:p>
        </w:tc>
        <w:tc>
          <w:tcPr>
            <w:tcW w:w="421" w:type="pct"/>
            <w:vMerge w:val="restart"/>
            <w:noWrap/>
            <w:vAlign w:val="center"/>
          </w:tcPr>
          <w:p w14:paraId="55C70445" w14:textId="77777777" w:rsidR="008B293B" w:rsidRPr="005C429C" w:rsidRDefault="008B293B" w:rsidP="005C429C">
            <w:pPr>
              <w:jc w:val="both"/>
              <w:rPr>
                <w:rFonts w:ascii="Times New Roman" w:hAnsi="Times New Roman" w:cs="Times New Roman"/>
              </w:rPr>
            </w:pPr>
            <w:r w:rsidRPr="005C429C">
              <w:rPr>
                <w:rFonts w:ascii="Times New Roman" w:hAnsi="Times New Roman" w:cs="Times New Roman"/>
                <w:color w:val="000000"/>
              </w:rPr>
              <w:t>48 weeks</w:t>
            </w:r>
          </w:p>
          <w:p w14:paraId="4EFBA761" w14:textId="77777777" w:rsidR="008B293B" w:rsidRPr="005C429C" w:rsidRDefault="008B293B" w:rsidP="005C429C">
            <w:pPr>
              <w:jc w:val="both"/>
              <w:rPr>
                <w:rFonts w:ascii="Times New Roman" w:hAnsi="Times New Roman" w:cs="Times New Roman"/>
              </w:rPr>
            </w:pPr>
            <w:r w:rsidRPr="005C429C">
              <w:rPr>
                <w:rFonts w:ascii="Times New Roman" w:hAnsi="Times New Roman" w:cs="Times New Roman"/>
                <w:color w:val="000000"/>
              </w:rPr>
              <w:t> </w:t>
            </w:r>
          </w:p>
          <w:p w14:paraId="275105B0" w14:textId="77777777" w:rsidR="008B293B" w:rsidRPr="005C429C" w:rsidRDefault="008B293B" w:rsidP="005C429C">
            <w:pPr>
              <w:jc w:val="both"/>
              <w:rPr>
                <w:rFonts w:ascii="Times New Roman" w:hAnsi="Times New Roman" w:cs="Times New Roman"/>
              </w:rPr>
            </w:pPr>
            <w:r w:rsidRPr="005C429C">
              <w:rPr>
                <w:rFonts w:ascii="Times New Roman" w:hAnsi="Times New Roman" w:cs="Times New Roman"/>
                <w:color w:val="000000"/>
              </w:rPr>
              <w:t> </w:t>
            </w:r>
          </w:p>
          <w:p w14:paraId="003029B0" w14:textId="6A53F56B" w:rsidR="008B293B" w:rsidRPr="005C429C" w:rsidRDefault="008B293B" w:rsidP="005C429C">
            <w:pPr>
              <w:jc w:val="both"/>
              <w:rPr>
                <w:rFonts w:ascii="Times New Roman" w:hAnsi="Times New Roman" w:cs="Times New Roman"/>
              </w:rPr>
            </w:pPr>
            <w:r w:rsidRPr="005C429C">
              <w:rPr>
                <w:rFonts w:ascii="Times New Roman" w:hAnsi="Times New Roman" w:cs="Times New Roman"/>
                <w:color w:val="000000"/>
              </w:rPr>
              <w:t> </w:t>
            </w:r>
          </w:p>
        </w:tc>
        <w:tc>
          <w:tcPr>
            <w:tcW w:w="1248" w:type="pct"/>
            <w:noWrap/>
            <w:vAlign w:val="bottom"/>
          </w:tcPr>
          <w:p w14:paraId="52BC029A" w14:textId="3FA7657D" w:rsidR="008B293B" w:rsidRPr="005C429C" w:rsidRDefault="008B293B" w:rsidP="005C429C">
            <w:pPr>
              <w:jc w:val="both"/>
              <w:rPr>
                <w:rFonts w:ascii="Times New Roman" w:hAnsi="Times New Roman" w:cs="Times New Roman"/>
              </w:rPr>
            </w:pPr>
            <w:r w:rsidRPr="005C429C">
              <w:rPr>
                <w:rFonts w:ascii="Times New Roman" w:hAnsi="Times New Roman" w:cs="Times New Roman"/>
                <w:color w:val="000000"/>
              </w:rPr>
              <w:t>Placebo</w:t>
            </w:r>
          </w:p>
        </w:tc>
        <w:tc>
          <w:tcPr>
            <w:tcW w:w="516" w:type="pct"/>
            <w:noWrap/>
            <w:vAlign w:val="bottom"/>
          </w:tcPr>
          <w:p w14:paraId="11BCBA99" w14:textId="13ED41FB" w:rsidR="008B293B" w:rsidRPr="005C429C" w:rsidRDefault="008B293B" w:rsidP="005C429C">
            <w:pPr>
              <w:jc w:val="both"/>
              <w:rPr>
                <w:rFonts w:ascii="Times New Roman" w:hAnsi="Times New Roman" w:cs="Times New Roman"/>
              </w:rPr>
            </w:pPr>
            <w:r w:rsidRPr="005C429C">
              <w:rPr>
                <w:rFonts w:ascii="Times New Roman" w:hAnsi="Times New Roman" w:cs="Times New Roman"/>
                <w:color w:val="000000"/>
              </w:rPr>
              <w:t>36</w:t>
            </w:r>
          </w:p>
        </w:tc>
        <w:tc>
          <w:tcPr>
            <w:tcW w:w="1326" w:type="pct"/>
            <w:gridSpan w:val="2"/>
            <w:vMerge w:val="restart"/>
            <w:noWrap/>
          </w:tcPr>
          <w:p w14:paraId="47FC686A" w14:textId="5FE81BDF" w:rsidR="008B293B" w:rsidRPr="005C429C" w:rsidRDefault="008B293B" w:rsidP="005C429C">
            <w:pPr>
              <w:jc w:val="both"/>
              <w:rPr>
                <w:rFonts w:ascii="Times New Roman" w:hAnsi="Times New Roman" w:cs="Times New Roman"/>
              </w:rPr>
            </w:pPr>
            <w:r w:rsidRPr="005C429C">
              <w:rPr>
                <w:rFonts w:ascii="Times New Roman" w:hAnsi="Times New Roman" w:cs="Times New Roman"/>
              </w:rPr>
              <w:t>mild to moderate AD</w:t>
            </w:r>
          </w:p>
        </w:tc>
      </w:tr>
      <w:tr w:rsidR="00241C9A" w:rsidRPr="005C429C" w14:paraId="0BC76707" w14:textId="77777777" w:rsidTr="008B293B">
        <w:trPr>
          <w:trHeight w:val="284"/>
        </w:trPr>
        <w:tc>
          <w:tcPr>
            <w:tcW w:w="542" w:type="pct"/>
            <w:vMerge/>
            <w:noWrap/>
            <w:vAlign w:val="center"/>
          </w:tcPr>
          <w:p w14:paraId="2D61D30E" w14:textId="6F6DAEEF" w:rsidR="008B293B" w:rsidRPr="005C429C" w:rsidRDefault="008B293B" w:rsidP="005C429C">
            <w:pPr>
              <w:jc w:val="both"/>
              <w:rPr>
                <w:rFonts w:ascii="Times New Roman" w:hAnsi="Times New Roman" w:cs="Times New Roman"/>
              </w:rPr>
            </w:pPr>
          </w:p>
        </w:tc>
        <w:tc>
          <w:tcPr>
            <w:tcW w:w="551" w:type="pct"/>
            <w:vMerge/>
            <w:noWrap/>
            <w:vAlign w:val="center"/>
          </w:tcPr>
          <w:p w14:paraId="1CEA7AFC" w14:textId="4C2B49B0" w:rsidR="008B293B" w:rsidRPr="005C429C" w:rsidRDefault="008B293B" w:rsidP="005C429C">
            <w:pPr>
              <w:jc w:val="both"/>
              <w:rPr>
                <w:rFonts w:ascii="Times New Roman" w:hAnsi="Times New Roman" w:cs="Times New Roman"/>
              </w:rPr>
            </w:pPr>
          </w:p>
        </w:tc>
        <w:tc>
          <w:tcPr>
            <w:tcW w:w="396" w:type="pct"/>
            <w:vMerge/>
            <w:noWrap/>
            <w:vAlign w:val="bottom"/>
          </w:tcPr>
          <w:p w14:paraId="6A7CD72F" w14:textId="1F8C6AD4" w:rsidR="008B293B" w:rsidRPr="005C429C" w:rsidRDefault="008B293B" w:rsidP="005C429C">
            <w:pPr>
              <w:jc w:val="both"/>
              <w:rPr>
                <w:rFonts w:ascii="Times New Roman" w:hAnsi="Times New Roman" w:cs="Times New Roman"/>
              </w:rPr>
            </w:pPr>
          </w:p>
        </w:tc>
        <w:tc>
          <w:tcPr>
            <w:tcW w:w="421" w:type="pct"/>
            <w:vMerge/>
            <w:noWrap/>
            <w:vAlign w:val="center"/>
          </w:tcPr>
          <w:p w14:paraId="52580468" w14:textId="60BD35D5" w:rsidR="008B293B" w:rsidRPr="005C429C" w:rsidRDefault="008B293B" w:rsidP="005C429C">
            <w:pPr>
              <w:jc w:val="both"/>
              <w:rPr>
                <w:rFonts w:ascii="Times New Roman" w:hAnsi="Times New Roman" w:cs="Times New Roman"/>
              </w:rPr>
            </w:pPr>
          </w:p>
        </w:tc>
        <w:tc>
          <w:tcPr>
            <w:tcW w:w="1248" w:type="pct"/>
            <w:noWrap/>
            <w:vAlign w:val="bottom"/>
          </w:tcPr>
          <w:p w14:paraId="15ADFDEC" w14:textId="70581896" w:rsidR="008B293B" w:rsidRPr="005C429C" w:rsidRDefault="008B293B" w:rsidP="005C429C">
            <w:pPr>
              <w:jc w:val="both"/>
              <w:rPr>
                <w:rFonts w:ascii="Times New Roman" w:hAnsi="Times New Roman" w:cs="Times New Roman"/>
              </w:rPr>
            </w:pPr>
            <w:r w:rsidRPr="005C429C">
              <w:rPr>
                <w:rFonts w:ascii="Times New Roman" w:hAnsi="Times New Roman" w:cs="Times New Roman"/>
                <w:color w:val="000000"/>
              </w:rPr>
              <w:t>2 mg/month</w:t>
            </w:r>
          </w:p>
        </w:tc>
        <w:tc>
          <w:tcPr>
            <w:tcW w:w="516" w:type="pct"/>
            <w:noWrap/>
            <w:vAlign w:val="bottom"/>
          </w:tcPr>
          <w:p w14:paraId="4EF30F0A" w14:textId="7EB41BB0" w:rsidR="008B293B" w:rsidRPr="005C429C" w:rsidRDefault="008B293B" w:rsidP="005C429C">
            <w:pPr>
              <w:jc w:val="both"/>
              <w:rPr>
                <w:rFonts w:ascii="Times New Roman" w:hAnsi="Times New Roman" w:cs="Times New Roman"/>
              </w:rPr>
            </w:pPr>
            <w:r w:rsidRPr="005C429C">
              <w:rPr>
                <w:rFonts w:ascii="Times New Roman" w:hAnsi="Times New Roman" w:cs="Times New Roman"/>
                <w:color w:val="000000"/>
              </w:rPr>
              <w:t>37</w:t>
            </w:r>
          </w:p>
        </w:tc>
        <w:tc>
          <w:tcPr>
            <w:tcW w:w="1326" w:type="pct"/>
            <w:gridSpan w:val="2"/>
            <w:vMerge/>
            <w:noWrap/>
          </w:tcPr>
          <w:p w14:paraId="3215DCE1" w14:textId="77777777" w:rsidR="008B293B" w:rsidRPr="005C429C" w:rsidRDefault="008B293B" w:rsidP="005C429C">
            <w:pPr>
              <w:jc w:val="both"/>
              <w:rPr>
                <w:rFonts w:ascii="Times New Roman" w:hAnsi="Times New Roman" w:cs="Times New Roman"/>
              </w:rPr>
            </w:pPr>
          </w:p>
        </w:tc>
      </w:tr>
      <w:tr w:rsidR="00241C9A" w:rsidRPr="005C429C" w14:paraId="2A382259" w14:textId="77777777" w:rsidTr="008B293B">
        <w:trPr>
          <w:trHeight w:val="284"/>
        </w:trPr>
        <w:tc>
          <w:tcPr>
            <w:tcW w:w="542" w:type="pct"/>
            <w:vMerge/>
            <w:noWrap/>
            <w:vAlign w:val="center"/>
          </w:tcPr>
          <w:p w14:paraId="24D18C06" w14:textId="33CB34BC" w:rsidR="008B293B" w:rsidRPr="005C429C" w:rsidRDefault="008B293B" w:rsidP="005C429C">
            <w:pPr>
              <w:jc w:val="both"/>
              <w:rPr>
                <w:rFonts w:ascii="Times New Roman" w:hAnsi="Times New Roman" w:cs="Times New Roman"/>
              </w:rPr>
            </w:pPr>
          </w:p>
        </w:tc>
        <w:tc>
          <w:tcPr>
            <w:tcW w:w="551" w:type="pct"/>
            <w:vMerge/>
            <w:noWrap/>
            <w:vAlign w:val="center"/>
          </w:tcPr>
          <w:p w14:paraId="15F57F40" w14:textId="7B04540D" w:rsidR="008B293B" w:rsidRPr="005C429C" w:rsidRDefault="008B293B" w:rsidP="005C429C">
            <w:pPr>
              <w:jc w:val="both"/>
              <w:rPr>
                <w:rFonts w:ascii="Times New Roman" w:hAnsi="Times New Roman" w:cs="Times New Roman"/>
              </w:rPr>
            </w:pPr>
          </w:p>
        </w:tc>
        <w:tc>
          <w:tcPr>
            <w:tcW w:w="396" w:type="pct"/>
            <w:vMerge/>
            <w:noWrap/>
            <w:vAlign w:val="bottom"/>
          </w:tcPr>
          <w:p w14:paraId="061F6F27" w14:textId="2C077642" w:rsidR="008B293B" w:rsidRPr="005C429C" w:rsidRDefault="008B293B" w:rsidP="005C429C">
            <w:pPr>
              <w:jc w:val="both"/>
              <w:rPr>
                <w:rFonts w:ascii="Times New Roman" w:hAnsi="Times New Roman" w:cs="Times New Roman"/>
              </w:rPr>
            </w:pPr>
          </w:p>
        </w:tc>
        <w:tc>
          <w:tcPr>
            <w:tcW w:w="421" w:type="pct"/>
            <w:vMerge/>
            <w:noWrap/>
            <w:vAlign w:val="center"/>
          </w:tcPr>
          <w:p w14:paraId="7EF7E7C8" w14:textId="2B1AC8A8" w:rsidR="008B293B" w:rsidRPr="005C429C" w:rsidRDefault="008B293B" w:rsidP="005C429C">
            <w:pPr>
              <w:jc w:val="both"/>
              <w:rPr>
                <w:rFonts w:ascii="Times New Roman" w:hAnsi="Times New Roman" w:cs="Times New Roman"/>
              </w:rPr>
            </w:pPr>
          </w:p>
        </w:tc>
        <w:tc>
          <w:tcPr>
            <w:tcW w:w="1248" w:type="pct"/>
            <w:noWrap/>
            <w:vAlign w:val="bottom"/>
          </w:tcPr>
          <w:p w14:paraId="0783E1D7" w14:textId="570FAFB8" w:rsidR="008B293B" w:rsidRPr="005C429C" w:rsidRDefault="008B293B" w:rsidP="005C429C">
            <w:pPr>
              <w:jc w:val="both"/>
              <w:rPr>
                <w:rFonts w:ascii="Times New Roman" w:hAnsi="Times New Roman" w:cs="Times New Roman"/>
              </w:rPr>
            </w:pPr>
            <w:r w:rsidRPr="005C429C">
              <w:rPr>
                <w:rFonts w:ascii="Times New Roman" w:hAnsi="Times New Roman" w:cs="Times New Roman"/>
                <w:color w:val="000000"/>
              </w:rPr>
              <w:t>7 mg/month</w:t>
            </w:r>
          </w:p>
        </w:tc>
        <w:tc>
          <w:tcPr>
            <w:tcW w:w="516" w:type="pct"/>
            <w:noWrap/>
            <w:vAlign w:val="bottom"/>
          </w:tcPr>
          <w:p w14:paraId="697BA415" w14:textId="0FD50395" w:rsidR="008B293B" w:rsidRPr="005C429C" w:rsidRDefault="008B293B" w:rsidP="005C429C">
            <w:pPr>
              <w:jc w:val="both"/>
              <w:rPr>
                <w:rFonts w:ascii="Times New Roman" w:hAnsi="Times New Roman" w:cs="Times New Roman"/>
              </w:rPr>
            </w:pPr>
            <w:r w:rsidRPr="005C429C">
              <w:rPr>
                <w:rFonts w:ascii="Times New Roman" w:hAnsi="Times New Roman" w:cs="Times New Roman"/>
                <w:color w:val="000000"/>
              </w:rPr>
              <w:t>36</w:t>
            </w:r>
          </w:p>
        </w:tc>
        <w:tc>
          <w:tcPr>
            <w:tcW w:w="1326" w:type="pct"/>
            <w:gridSpan w:val="2"/>
            <w:vMerge/>
            <w:noWrap/>
          </w:tcPr>
          <w:p w14:paraId="4B0C196C" w14:textId="77777777" w:rsidR="008B293B" w:rsidRPr="005C429C" w:rsidRDefault="008B293B" w:rsidP="005C429C">
            <w:pPr>
              <w:jc w:val="both"/>
              <w:rPr>
                <w:rFonts w:ascii="Times New Roman" w:hAnsi="Times New Roman" w:cs="Times New Roman"/>
              </w:rPr>
            </w:pPr>
          </w:p>
        </w:tc>
      </w:tr>
      <w:tr w:rsidR="00241C9A" w:rsidRPr="005C429C" w14:paraId="3967CD4C" w14:textId="77777777" w:rsidTr="008B293B">
        <w:trPr>
          <w:trHeight w:val="284"/>
        </w:trPr>
        <w:tc>
          <w:tcPr>
            <w:tcW w:w="542" w:type="pct"/>
            <w:vMerge/>
            <w:noWrap/>
            <w:vAlign w:val="center"/>
          </w:tcPr>
          <w:p w14:paraId="2D95BE1E" w14:textId="3AC04A15" w:rsidR="008B293B" w:rsidRPr="005C429C" w:rsidRDefault="008B293B" w:rsidP="005C429C">
            <w:pPr>
              <w:jc w:val="both"/>
              <w:rPr>
                <w:rFonts w:ascii="Times New Roman" w:hAnsi="Times New Roman" w:cs="Times New Roman"/>
              </w:rPr>
            </w:pPr>
          </w:p>
        </w:tc>
        <w:tc>
          <w:tcPr>
            <w:tcW w:w="551" w:type="pct"/>
            <w:vMerge/>
            <w:noWrap/>
            <w:vAlign w:val="center"/>
          </w:tcPr>
          <w:p w14:paraId="64AB633B" w14:textId="50FDC794" w:rsidR="008B293B" w:rsidRPr="005C429C" w:rsidRDefault="008B293B" w:rsidP="005C429C">
            <w:pPr>
              <w:jc w:val="both"/>
              <w:rPr>
                <w:rFonts w:ascii="Times New Roman" w:hAnsi="Times New Roman" w:cs="Times New Roman"/>
              </w:rPr>
            </w:pPr>
          </w:p>
        </w:tc>
        <w:tc>
          <w:tcPr>
            <w:tcW w:w="396" w:type="pct"/>
            <w:vMerge/>
            <w:noWrap/>
            <w:vAlign w:val="bottom"/>
          </w:tcPr>
          <w:p w14:paraId="1E0AC293" w14:textId="009B245A" w:rsidR="008B293B" w:rsidRPr="005C429C" w:rsidRDefault="008B293B" w:rsidP="005C429C">
            <w:pPr>
              <w:jc w:val="both"/>
              <w:rPr>
                <w:rFonts w:ascii="Times New Roman" w:hAnsi="Times New Roman" w:cs="Times New Roman"/>
              </w:rPr>
            </w:pPr>
          </w:p>
        </w:tc>
        <w:tc>
          <w:tcPr>
            <w:tcW w:w="421" w:type="pct"/>
            <w:vMerge/>
            <w:noWrap/>
            <w:vAlign w:val="center"/>
          </w:tcPr>
          <w:p w14:paraId="1DD749B6" w14:textId="7A52E0C0" w:rsidR="008B293B" w:rsidRPr="005C429C" w:rsidRDefault="008B293B" w:rsidP="005C429C">
            <w:pPr>
              <w:jc w:val="both"/>
              <w:rPr>
                <w:rFonts w:ascii="Times New Roman" w:hAnsi="Times New Roman" w:cs="Times New Roman"/>
              </w:rPr>
            </w:pPr>
          </w:p>
        </w:tc>
        <w:tc>
          <w:tcPr>
            <w:tcW w:w="1248" w:type="pct"/>
            <w:noWrap/>
            <w:vAlign w:val="bottom"/>
          </w:tcPr>
          <w:p w14:paraId="67338975" w14:textId="4C4F2F0B" w:rsidR="008B293B" w:rsidRPr="005C429C" w:rsidRDefault="008B293B" w:rsidP="005C429C">
            <w:pPr>
              <w:jc w:val="both"/>
              <w:rPr>
                <w:rFonts w:ascii="Times New Roman" w:hAnsi="Times New Roman" w:cs="Times New Roman"/>
              </w:rPr>
            </w:pPr>
            <w:r w:rsidRPr="005C429C">
              <w:rPr>
                <w:rFonts w:ascii="Times New Roman" w:hAnsi="Times New Roman" w:cs="Times New Roman"/>
                <w:color w:val="000000"/>
              </w:rPr>
              <w:t>20 mg/month</w:t>
            </w:r>
          </w:p>
        </w:tc>
        <w:tc>
          <w:tcPr>
            <w:tcW w:w="516" w:type="pct"/>
            <w:noWrap/>
            <w:vAlign w:val="bottom"/>
          </w:tcPr>
          <w:p w14:paraId="3F2D2C24" w14:textId="14CC8893" w:rsidR="008B293B" w:rsidRPr="005C429C" w:rsidRDefault="008B293B" w:rsidP="005C429C">
            <w:pPr>
              <w:jc w:val="both"/>
              <w:rPr>
                <w:rFonts w:ascii="Times New Roman" w:hAnsi="Times New Roman" w:cs="Times New Roman"/>
              </w:rPr>
            </w:pPr>
            <w:r w:rsidRPr="005C429C">
              <w:rPr>
                <w:rFonts w:ascii="Times New Roman" w:hAnsi="Times New Roman" w:cs="Times New Roman"/>
                <w:color w:val="000000"/>
              </w:rPr>
              <w:t>37</w:t>
            </w:r>
          </w:p>
        </w:tc>
        <w:tc>
          <w:tcPr>
            <w:tcW w:w="1326" w:type="pct"/>
            <w:gridSpan w:val="2"/>
            <w:vMerge/>
            <w:noWrap/>
          </w:tcPr>
          <w:p w14:paraId="6A96E1F8" w14:textId="77777777" w:rsidR="008B293B" w:rsidRPr="005C429C" w:rsidRDefault="008B293B" w:rsidP="005C429C">
            <w:pPr>
              <w:jc w:val="both"/>
              <w:rPr>
                <w:rFonts w:ascii="Times New Roman" w:hAnsi="Times New Roman" w:cs="Times New Roman"/>
              </w:rPr>
            </w:pPr>
          </w:p>
        </w:tc>
      </w:tr>
      <w:tr w:rsidR="00241C9A" w:rsidRPr="005C429C" w14:paraId="314797F9" w14:textId="77777777" w:rsidTr="008B293B">
        <w:trPr>
          <w:trHeight w:val="284"/>
        </w:trPr>
        <w:tc>
          <w:tcPr>
            <w:tcW w:w="542" w:type="pct"/>
            <w:vMerge w:val="restart"/>
            <w:noWrap/>
            <w:vAlign w:val="center"/>
          </w:tcPr>
          <w:p w14:paraId="15E17375" w14:textId="5D3793AA" w:rsidR="005C429C" w:rsidRPr="005C429C" w:rsidRDefault="005C429C" w:rsidP="00241C9A">
            <w:pPr>
              <w:jc w:val="both"/>
              <w:rPr>
                <w:rFonts w:ascii="Times New Roman" w:hAnsi="Times New Roman" w:cs="Times New Roman"/>
              </w:rPr>
            </w:pPr>
            <w:r w:rsidRPr="005C429C">
              <w:rPr>
                <w:rFonts w:ascii="Times New Roman" w:hAnsi="Times New Roman" w:cs="Times New Roman"/>
                <w:color w:val="000000"/>
              </w:rPr>
              <w:t>BLAZE </w:t>
            </w:r>
          </w:p>
        </w:tc>
        <w:tc>
          <w:tcPr>
            <w:tcW w:w="551" w:type="pct"/>
            <w:vMerge w:val="restart"/>
            <w:noWrap/>
            <w:vAlign w:val="center"/>
          </w:tcPr>
          <w:p w14:paraId="05170EE6" w14:textId="5E120AA9" w:rsidR="005C429C" w:rsidRPr="005C429C" w:rsidRDefault="005C429C" w:rsidP="00241C9A">
            <w:pPr>
              <w:jc w:val="both"/>
              <w:rPr>
                <w:rFonts w:ascii="Times New Roman" w:hAnsi="Times New Roman" w:cs="Times New Roman"/>
              </w:rPr>
            </w:pPr>
            <w:r w:rsidRPr="005C429C">
              <w:rPr>
                <w:rFonts w:ascii="Times New Roman" w:hAnsi="Times New Roman" w:cs="Times New Roman"/>
                <w:color w:val="000000"/>
              </w:rPr>
              <w:t>NCT01397578</w:t>
            </w:r>
          </w:p>
        </w:tc>
        <w:tc>
          <w:tcPr>
            <w:tcW w:w="396" w:type="pct"/>
            <w:vMerge w:val="restart"/>
            <w:noWrap/>
            <w:vAlign w:val="bottom"/>
          </w:tcPr>
          <w:p w14:paraId="60A3344A" w14:textId="6DD300DF" w:rsidR="005C429C" w:rsidRPr="005C429C" w:rsidRDefault="005C429C" w:rsidP="00241C9A">
            <w:pPr>
              <w:jc w:val="both"/>
              <w:rPr>
                <w:rFonts w:ascii="Times New Roman" w:hAnsi="Times New Roman" w:cs="Times New Roman"/>
              </w:rPr>
            </w:pPr>
            <w:r w:rsidRPr="005C429C">
              <w:rPr>
                <w:rFonts w:ascii="Times New Roman" w:hAnsi="Times New Roman" w:cs="Times New Roman"/>
                <w:color w:val="171716"/>
              </w:rPr>
              <w:t>Crenezumab</w:t>
            </w:r>
          </w:p>
        </w:tc>
        <w:tc>
          <w:tcPr>
            <w:tcW w:w="421" w:type="pct"/>
            <w:vMerge w:val="restart"/>
            <w:noWrap/>
            <w:vAlign w:val="center"/>
          </w:tcPr>
          <w:p w14:paraId="7019F790" w14:textId="752FDD8B" w:rsidR="005C429C" w:rsidRPr="005C429C" w:rsidRDefault="005C429C" w:rsidP="00241C9A">
            <w:pPr>
              <w:jc w:val="both"/>
              <w:rPr>
                <w:rFonts w:ascii="Times New Roman" w:hAnsi="Times New Roman" w:cs="Times New Roman"/>
              </w:rPr>
            </w:pPr>
            <w:r w:rsidRPr="005C429C">
              <w:rPr>
                <w:rFonts w:ascii="Times New Roman" w:hAnsi="Times New Roman" w:cs="Times New Roman"/>
                <w:color w:val="000000"/>
              </w:rPr>
              <w:t>68 weeks </w:t>
            </w:r>
          </w:p>
        </w:tc>
        <w:tc>
          <w:tcPr>
            <w:tcW w:w="1248" w:type="pct"/>
            <w:noWrap/>
            <w:vAlign w:val="bottom"/>
          </w:tcPr>
          <w:p w14:paraId="2F3B32BE" w14:textId="3F521ECF" w:rsidR="005C429C" w:rsidRPr="005C429C" w:rsidRDefault="005C429C" w:rsidP="005C429C">
            <w:pPr>
              <w:jc w:val="both"/>
              <w:rPr>
                <w:rFonts w:ascii="Times New Roman" w:hAnsi="Times New Roman" w:cs="Times New Roman"/>
              </w:rPr>
            </w:pPr>
            <w:r w:rsidRPr="005C429C">
              <w:rPr>
                <w:rFonts w:ascii="Times New Roman" w:hAnsi="Times New Roman" w:cs="Times New Roman"/>
                <w:color w:val="000000"/>
              </w:rPr>
              <w:t>Placebo</w:t>
            </w:r>
          </w:p>
        </w:tc>
        <w:tc>
          <w:tcPr>
            <w:tcW w:w="516" w:type="pct"/>
            <w:noWrap/>
            <w:vAlign w:val="bottom"/>
          </w:tcPr>
          <w:p w14:paraId="0D167E5D" w14:textId="4C74D3E0" w:rsidR="005C429C" w:rsidRPr="005C429C" w:rsidRDefault="005C429C" w:rsidP="005C429C">
            <w:pPr>
              <w:jc w:val="both"/>
              <w:rPr>
                <w:rFonts w:ascii="Times New Roman" w:hAnsi="Times New Roman" w:cs="Times New Roman"/>
              </w:rPr>
            </w:pPr>
            <w:r w:rsidRPr="005C429C">
              <w:rPr>
                <w:rFonts w:ascii="Times New Roman" w:hAnsi="Times New Roman" w:cs="Times New Roman"/>
                <w:color w:val="000000"/>
              </w:rPr>
              <w:t>13</w:t>
            </w:r>
          </w:p>
        </w:tc>
        <w:tc>
          <w:tcPr>
            <w:tcW w:w="1326" w:type="pct"/>
            <w:gridSpan w:val="2"/>
            <w:vMerge w:val="restart"/>
            <w:noWrap/>
          </w:tcPr>
          <w:p w14:paraId="4E0F0535" w14:textId="7AB29BEE" w:rsidR="005C429C" w:rsidRPr="005C429C" w:rsidRDefault="005C429C" w:rsidP="005C429C">
            <w:pPr>
              <w:jc w:val="both"/>
              <w:rPr>
                <w:rFonts w:ascii="Times New Roman" w:hAnsi="Times New Roman" w:cs="Times New Roman"/>
              </w:rPr>
            </w:pPr>
            <w:r w:rsidRPr="005C429C">
              <w:rPr>
                <w:rFonts w:ascii="Times New Roman" w:hAnsi="Times New Roman" w:cs="Times New Roman"/>
              </w:rPr>
              <w:t>mild to moderate AD</w:t>
            </w:r>
          </w:p>
        </w:tc>
      </w:tr>
      <w:tr w:rsidR="00241C9A" w:rsidRPr="005C429C" w14:paraId="649212E4" w14:textId="77777777" w:rsidTr="008B293B">
        <w:trPr>
          <w:trHeight w:val="284"/>
        </w:trPr>
        <w:tc>
          <w:tcPr>
            <w:tcW w:w="542" w:type="pct"/>
            <w:vMerge/>
            <w:noWrap/>
            <w:vAlign w:val="center"/>
          </w:tcPr>
          <w:p w14:paraId="5A26B89F" w14:textId="64BBC832" w:rsidR="005C429C" w:rsidRPr="005C429C" w:rsidRDefault="005C429C" w:rsidP="005C429C">
            <w:pPr>
              <w:jc w:val="both"/>
              <w:rPr>
                <w:rFonts w:ascii="Times New Roman" w:hAnsi="Times New Roman" w:cs="Times New Roman"/>
              </w:rPr>
            </w:pPr>
          </w:p>
        </w:tc>
        <w:tc>
          <w:tcPr>
            <w:tcW w:w="551" w:type="pct"/>
            <w:vMerge/>
            <w:noWrap/>
            <w:vAlign w:val="center"/>
          </w:tcPr>
          <w:p w14:paraId="1A859749" w14:textId="17157A05" w:rsidR="005C429C" w:rsidRPr="005C429C" w:rsidRDefault="005C429C" w:rsidP="005C429C">
            <w:pPr>
              <w:jc w:val="both"/>
              <w:rPr>
                <w:rFonts w:ascii="Times New Roman" w:hAnsi="Times New Roman" w:cs="Times New Roman"/>
              </w:rPr>
            </w:pPr>
          </w:p>
        </w:tc>
        <w:tc>
          <w:tcPr>
            <w:tcW w:w="396" w:type="pct"/>
            <w:vMerge/>
            <w:noWrap/>
            <w:vAlign w:val="bottom"/>
          </w:tcPr>
          <w:p w14:paraId="12099819" w14:textId="46346B25" w:rsidR="005C429C" w:rsidRPr="005C429C" w:rsidRDefault="005C429C" w:rsidP="005C429C">
            <w:pPr>
              <w:jc w:val="both"/>
              <w:rPr>
                <w:rFonts w:ascii="Times New Roman" w:hAnsi="Times New Roman" w:cs="Times New Roman"/>
              </w:rPr>
            </w:pPr>
          </w:p>
        </w:tc>
        <w:tc>
          <w:tcPr>
            <w:tcW w:w="421" w:type="pct"/>
            <w:vMerge/>
            <w:noWrap/>
            <w:vAlign w:val="center"/>
          </w:tcPr>
          <w:p w14:paraId="151CC2FD" w14:textId="3B5BC87E" w:rsidR="005C429C" w:rsidRPr="005C429C" w:rsidRDefault="005C429C" w:rsidP="005C429C">
            <w:pPr>
              <w:jc w:val="both"/>
              <w:rPr>
                <w:rFonts w:ascii="Times New Roman" w:hAnsi="Times New Roman" w:cs="Times New Roman"/>
              </w:rPr>
            </w:pPr>
          </w:p>
        </w:tc>
        <w:tc>
          <w:tcPr>
            <w:tcW w:w="1248" w:type="pct"/>
            <w:noWrap/>
            <w:vAlign w:val="bottom"/>
          </w:tcPr>
          <w:p w14:paraId="0B711777" w14:textId="5C0D76D0" w:rsidR="005C429C" w:rsidRPr="005C429C" w:rsidRDefault="005C429C" w:rsidP="005C429C">
            <w:pPr>
              <w:jc w:val="both"/>
              <w:rPr>
                <w:rFonts w:ascii="Times New Roman" w:hAnsi="Times New Roman" w:cs="Times New Roman"/>
              </w:rPr>
            </w:pPr>
            <w:r w:rsidRPr="005C429C">
              <w:rPr>
                <w:rFonts w:ascii="Times New Roman" w:hAnsi="Times New Roman" w:cs="Times New Roman"/>
                <w:color w:val="000000"/>
              </w:rPr>
              <w:t>300 mg</w:t>
            </w:r>
          </w:p>
        </w:tc>
        <w:tc>
          <w:tcPr>
            <w:tcW w:w="516" w:type="pct"/>
            <w:noWrap/>
            <w:vAlign w:val="bottom"/>
          </w:tcPr>
          <w:p w14:paraId="0C9DE283" w14:textId="0B93E4AE" w:rsidR="005C429C" w:rsidRPr="005C429C" w:rsidRDefault="005C429C" w:rsidP="005C429C">
            <w:pPr>
              <w:jc w:val="both"/>
              <w:rPr>
                <w:rFonts w:ascii="Times New Roman" w:hAnsi="Times New Roman" w:cs="Times New Roman"/>
              </w:rPr>
            </w:pPr>
            <w:r w:rsidRPr="005C429C">
              <w:rPr>
                <w:rFonts w:ascii="Times New Roman" w:hAnsi="Times New Roman" w:cs="Times New Roman"/>
                <w:color w:val="000000"/>
              </w:rPr>
              <w:t>26</w:t>
            </w:r>
          </w:p>
        </w:tc>
        <w:tc>
          <w:tcPr>
            <w:tcW w:w="1326" w:type="pct"/>
            <w:gridSpan w:val="2"/>
            <w:vMerge/>
            <w:noWrap/>
          </w:tcPr>
          <w:p w14:paraId="578D58BC" w14:textId="77777777" w:rsidR="005C429C" w:rsidRPr="005C429C" w:rsidRDefault="005C429C" w:rsidP="005C429C">
            <w:pPr>
              <w:jc w:val="both"/>
              <w:rPr>
                <w:rFonts w:ascii="Times New Roman" w:hAnsi="Times New Roman" w:cs="Times New Roman"/>
              </w:rPr>
            </w:pPr>
          </w:p>
        </w:tc>
      </w:tr>
      <w:tr w:rsidR="00241C9A" w:rsidRPr="005C429C" w14:paraId="328BC058" w14:textId="77777777" w:rsidTr="008B293B">
        <w:trPr>
          <w:trHeight w:val="284"/>
        </w:trPr>
        <w:tc>
          <w:tcPr>
            <w:tcW w:w="542" w:type="pct"/>
            <w:vMerge w:val="restart"/>
            <w:noWrap/>
            <w:vAlign w:val="center"/>
          </w:tcPr>
          <w:p w14:paraId="7A67F1FF" w14:textId="0E012BF4" w:rsidR="005C429C" w:rsidRPr="005C429C" w:rsidRDefault="005C429C" w:rsidP="00241C9A">
            <w:pPr>
              <w:jc w:val="both"/>
              <w:rPr>
                <w:rFonts w:ascii="Times New Roman" w:hAnsi="Times New Roman" w:cs="Times New Roman"/>
              </w:rPr>
            </w:pPr>
            <w:r w:rsidRPr="005C429C">
              <w:rPr>
                <w:rFonts w:ascii="Times New Roman" w:hAnsi="Times New Roman" w:cs="Times New Roman"/>
                <w:color w:val="000000"/>
              </w:rPr>
              <w:t>BLAZE</w:t>
            </w:r>
          </w:p>
        </w:tc>
        <w:tc>
          <w:tcPr>
            <w:tcW w:w="551" w:type="pct"/>
            <w:vMerge w:val="restart"/>
            <w:noWrap/>
            <w:vAlign w:val="center"/>
          </w:tcPr>
          <w:p w14:paraId="00BBBF1F" w14:textId="0E84BC0E" w:rsidR="005C429C" w:rsidRPr="005C429C" w:rsidRDefault="005C429C" w:rsidP="00241C9A">
            <w:pPr>
              <w:jc w:val="both"/>
              <w:rPr>
                <w:rFonts w:ascii="Times New Roman" w:hAnsi="Times New Roman" w:cs="Times New Roman"/>
              </w:rPr>
            </w:pPr>
            <w:r w:rsidRPr="005C429C">
              <w:rPr>
                <w:rFonts w:ascii="Times New Roman" w:hAnsi="Times New Roman" w:cs="Times New Roman"/>
                <w:color w:val="000000"/>
              </w:rPr>
              <w:t>NCT0139757</w:t>
            </w:r>
            <w:r>
              <w:rPr>
                <w:rFonts w:ascii="Times New Roman" w:hAnsi="Times New Roman" w:cs="Times New Roman"/>
                <w:color w:val="000000"/>
              </w:rPr>
              <w:t>8</w:t>
            </w:r>
          </w:p>
        </w:tc>
        <w:tc>
          <w:tcPr>
            <w:tcW w:w="396" w:type="pct"/>
            <w:vMerge w:val="restart"/>
            <w:noWrap/>
            <w:vAlign w:val="bottom"/>
          </w:tcPr>
          <w:p w14:paraId="3D9FC8ED" w14:textId="34AA902D" w:rsidR="005C429C" w:rsidRPr="005C429C" w:rsidRDefault="005C429C" w:rsidP="00241C9A">
            <w:pPr>
              <w:jc w:val="both"/>
              <w:rPr>
                <w:rFonts w:ascii="Times New Roman" w:hAnsi="Times New Roman" w:cs="Times New Roman"/>
              </w:rPr>
            </w:pPr>
            <w:r w:rsidRPr="005C429C">
              <w:rPr>
                <w:rFonts w:ascii="Times New Roman" w:hAnsi="Times New Roman" w:cs="Times New Roman"/>
                <w:color w:val="171716"/>
              </w:rPr>
              <w:t>Crenezumab</w:t>
            </w:r>
          </w:p>
        </w:tc>
        <w:tc>
          <w:tcPr>
            <w:tcW w:w="421" w:type="pct"/>
            <w:vMerge w:val="restart"/>
            <w:noWrap/>
            <w:vAlign w:val="center"/>
          </w:tcPr>
          <w:p w14:paraId="35EBFC93" w14:textId="152F1AE3" w:rsidR="005C429C" w:rsidRPr="005C429C" w:rsidRDefault="005C429C" w:rsidP="00241C9A">
            <w:pPr>
              <w:jc w:val="both"/>
              <w:rPr>
                <w:rFonts w:ascii="Times New Roman" w:hAnsi="Times New Roman" w:cs="Times New Roman"/>
              </w:rPr>
            </w:pPr>
            <w:r w:rsidRPr="005C429C">
              <w:rPr>
                <w:rFonts w:ascii="Times New Roman" w:hAnsi="Times New Roman" w:cs="Times New Roman"/>
                <w:color w:val="000000"/>
              </w:rPr>
              <w:t>68 weeks </w:t>
            </w:r>
          </w:p>
        </w:tc>
        <w:tc>
          <w:tcPr>
            <w:tcW w:w="1248" w:type="pct"/>
            <w:noWrap/>
            <w:vAlign w:val="bottom"/>
          </w:tcPr>
          <w:p w14:paraId="3945557D" w14:textId="361190C5" w:rsidR="005C429C" w:rsidRPr="005C429C" w:rsidRDefault="005C429C" w:rsidP="005C429C">
            <w:pPr>
              <w:jc w:val="both"/>
              <w:rPr>
                <w:rFonts w:ascii="Times New Roman" w:hAnsi="Times New Roman" w:cs="Times New Roman"/>
              </w:rPr>
            </w:pPr>
            <w:r w:rsidRPr="005C429C">
              <w:rPr>
                <w:rFonts w:ascii="Times New Roman" w:hAnsi="Times New Roman" w:cs="Times New Roman"/>
                <w:color w:val="000000"/>
              </w:rPr>
              <w:t>Placebo</w:t>
            </w:r>
          </w:p>
        </w:tc>
        <w:tc>
          <w:tcPr>
            <w:tcW w:w="516" w:type="pct"/>
            <w:noWrap/>
            <w:vAlign w:val="bottom"/>
          </w:tcPr>
          <w:p w14:paraId="33ED7E31" w14:textId="5AEBAFEE" w:rsidR="005C429C" w:rsidRPr="005C429C" w:rsidRDefault="005C429C" w:rsidP="005C429C">
            <w:pPr>
              <w:jc w:val="both"/>
              <w:rPr>
                <w:rFonts w:ascii="Times New Roman" w:hAnsi="Times New Roman" w:cs="Times New Roman"/>
              </w:rPr>
            </w:pPr>
            <w:r w:rsidRPr="005C429C">
              <w:rPr>
                <w:rFonts w:ascii="Times New Roman" w:hAnsi="Times New Roman" w:cs="Times New Roman"/>
                <w:color w:val="000000"/>
              </w:rPr>
              <w:t>17</w:t>
            </w:r>
          </w:p>
        </w:tc>
        <w:tc>
          <w:tcPr>
            <w:tcW w:w="1326" w:type="pct"/>
            <w:gridSpan w:val="2"/>
            <w:vMerge w:val="restart"/>
            <w:noWrap/>
          </w:tcPr>
          <w:p w14:paraId="0E7B7D8A" w14:textId="6597FE72" w:rsidR="005C429C" w:rsidRPr="005C429C" w:rsidRDefault="005C429C" w:rsidP="005C429C">
            <w:pPr>
              <w:jc w:val="both"/>
              <w:rPr>
                <w:rFonts w:ascii="Times New Roman" w:hAnsi="Times New Roman" w:cs="Times New Roman"/>
              </w:rPr>
            </w:pPr>
            <w:r w:rsidRPr="005C429C">
              <w:rPr>
                <w:rFonts w:ascii="Times New Roman" w:hAnsi="Times New Roman" w:cs="Times New Roman"/>
              </w:rPr>
              <w:t>mild to moderate AD</w:t>
            </w:r>
          </w:p>
        </w:tc>
      </w:tr>
      <w:tr w:rsidR="00241C9A" w:rsidRPr="005C429C" w14:paraId="4290F594" w14:textId="77777777" w:rsidTr="008B293B">
        <w:trPr>
          <w:trHeight w:val="284"/>
        </w:trPr>
        <w:tc>
          <w:tcPr>
            <w:tcW w:w="542" w:type="pct"/>
            <w:vMerge/>
            <w:noWrap/>
            <w:vAlign w:val="center"/>
          </w:tcPr>
          <w:p w14:paraId="54110A34" w14:textId="71F11073" w:rsidR="005C429C" w:rsidRPr="005C429C" w:rsidRDefault="005C429C" w:rsidP="005C429C">
            <w:pPr>
              <w:jc w:val="both"/>
              <w:rPr>
                <w:rFonts w:ascii="Times New Roman" w:hAnsi="Times New Roman" w:cs="Times New Roman"/>
              </w:rPr>
            </w:pPr>
          </w:p>
        </w:tc>
        <w:tc>
          <w:tcPr>
            <w:tcW w:w="551" w:type="pct"/>
            <w:vMerge/>
            <w:noWrap/>
            <w:vAlign w:val="center"/>
          </w:tcPr>
          <w:p w14:paraId="2CC13F63" w14:textId="29EC42FD" w:rsidR="005C429C" w:rsidRPr="005C429C" w:rsidRDefault="005C429C" w:rsidP="005C429C">
            <w:pPr>
              <w:jc w:val="both"/>
              <w:rPr>
                <w:rFonts w:ascii="Times New Roman" w:hAnsi="Times New Roman" w:cs="Times New Roman"/>
              </w:rPr>
            </w:pPr>
          </w:p>
        </w:tc>
        <w:tc>
          <w:tcPr>
            <w:tcW w:w="396" w:type="pct"/>
            <w:vMerge/>
            <w:noWrap/>
            <w:vAlign w:val="bottom"/>
          </w:tcPr>
          <w:p w14:paraId="0CA99248" w14:textId="6201A4EA" w:rsidR="005C429C" w:rsidRPr="005C429C" w:rsidRDefault="005C429C" w:rsidP="005C429C">
            <w:pPr>
              <w:jc w:val="both"/>
              <w:rPr>
                <w:rFonts w:ascii="Times New Roman" w:hAnsi="Times New Roman" w:cs="Times New Roman"/>
              </w:rPr>
            </w:pPr>
          </w:p>
        </w:tc>
        <w:tc>
          <w:tcPr>
            <w:tcW w:w="421" w:type="pct"/>
            <w:vMerge/>
            <w:noWrap/>
            <w:vAlign w:val="center"/>
          </w:tcPr>
          <w:p w14:paraId="605D9B69" w14:textId="08FEB772" w:rsidR="005C429C" w:rsidRPr="005C429C" w:rsidRDefault="005C429C" w:rsidP="005C429C">
            <w:pPr>
              <w:jc w:val="both"/>
              <w:rPr>
                <w:rFonts w:ascii="Times New Roman" w:hAnsi="Times New Roman" w:cs="Times New Roman"/>
              </w:rPr>
            </w:pPr>
          </w:p>
        </w:tc>
        <w:tc>
          <w:tcPr>
            <w:tcW w:w="1248" w:type="pct"/>
            <w:noWrap/>
            <w:vAlign w:val="bottom"/>
          </w:tcPr>
          <w:p w14:paraId="02200163" w14:textId="39D98CA2" w:rsidR="005C429C" w:rsidRPr="005C429C" w:rsidRDefault="005C429C" w:rsidP="005C429C">
            <w:pPr>
              <w:jc w:val="both"/>
              <w:rPr>
                <w:rFonts w:ascii="Times New Roman" w:hAnsi="Times New Roman" w:cs="Times New Roman"/>
              </w:rPr>
            </w:pPr>
            <w:r w:rsidRPr="005C429C">
              <w:rPr>
                <w:rFonts w:ascii="Times New Roman" w:hAnsi="Times New Roman" w:cs="Times New Roman"/>
                <w:color w:val="000000"/>
              </w:rPr>
              <w:t>15 mg/kg</w:t>
            </w:r>
          </w:p>
        </w:tc>
        <w:tc>
          <w:tcPr>
            <w:tcW w:w="516" w:type="pct"/>
            <w:noWrap/>
            <w:vAlign w:val="bottom"/>
          </w:tcPr>
          <w:p w14:paraId="20E1D835" w14:textId="69F4EA7B" w:rsidR="005C429C" w:rsidRPr="005C429C" w:rsidRDefault="005C429C" w:rsidP="005C429C">
            <w:pPr>
              <w:jc w:val="both"/>
              <w:rPr>
                <w:rFonts w:ascii="Times New Roman" w:hAnsi="Times New Roman" w:cs="Times New Roman"/>
              </w:rPr>
            </w:pPr>
            <w:r w:rsidRPr="005C429C">
              <w:rPr>
                <w:rFonts w:ascii="Times New Roman" w:hAnsi="Times New Roman" w:cs="Times New Roman"/>
                <w:color w:val="000000"/>
              </w:rPr>
              <w:t>35</w:t>
            </w:r>
          </w:p>
        </w:tc>
        <w:tc>
          <w:tcPr>
            <w:tcW w:w="1326" w:type="pct"/>
            <w:gridSpan w:val="2"/>
            <w:vMerge/>
            <w:noWrap/>
          </w:tcPr>
          <w:p w14:paraId="39606860" w14:textId="77777777" w:rsidR="005C429C" w:rsidRPr="005C429C" w:rsidRDefault="005C429C" w:rsidP="005C429C">
            <w:pPr>
              <w:jc w:val="both"/>
              <w:rPr>
                <w:rFonts w:ascii="Times New Roman" w:hAnsi="Times New Roman" w:cs="Times New Roman"/>
              </w:rPr>
            </w:pPr>
          </w:p>
        </w:tc>
      </w:tr>
      <w:tr w:rsidR="00241C9A" w:rsidRPr="005C429C" w14:paraId="24B63267" w14:textId="77777777" w:rsidTr="008B293B">
        <w:trPr>
          <w:trHeight w:val="284"/>
        </w:trPr>
        <w:tc>
          <w:tcPr>
            <w:tcW w:w="542" w:type="pct"/>
            <w:vMerge w:val="restart"/>
            <w:noWrap/>
            <w:hideMark/>
          </w:tcPr>
          <w:p w14:paraId="584CCAF8" w14:textId="401440E7" w:rsidR="00FD60FD" w:rsidRPr="005C429C" w:rsidRDefault="00FD60FD" w:rsidP="00241C9A">
            <w:pPr>
              <w:jc w:val="both"/>
              <w:rPr>
                <w:rFonts w:ascii="Times New Roman" w:hAnsi="Times New Roman" w:cs="Times New Roman"/>
              </w:rPr>
            </w:pPr>
            <w:r w:rsidRPr="005C429C">
              <w:rPr>
                <w:rFonts w:ascii="Times New Roman" w:hAnsi="Times New Roman" w:cs="Times New Roman"/>
              </w:rPr>
              <w:t>CREAD</w:t>
            </w:r>
          </w:p>
        </w:tc>
        <w:tc>
          <w:tcPr>
            <w:tcW w:w="551" w:type="pct"/>
            <w:vMerge w:val="restart"/>
            <w:noWrap/>
            <w:hideMark/>
          </w:tcPr>
          <w:p w14:paraId="1513761F" w14:textId="4B2739FA" w:rsidR="00FD60FD" w:rsidRPr="005C429C" w:rsidRDefault="00FD60FD" w:rsidP="00241C9A">
            <w:pPr>
              <w:jc w:val="both"/>
              <w:rPr>
                <w:rFonts w:ascii="Times New Roman" w:hAnsi="Times New Roman" w:cs="Times New Roman"/>
              </w:rPr>
            </w:pPr>
            <w:r w:rsidRPr="005C429C">
              <w:rPr>
                <w:rFonts w:ascii="Times New Roman" w:hAnsi="Times New Roman" w:cs="Times New Roman"/>
              </w:rPr>
              <w:t>NCT02670083 </w:t>
            </w:r>
          </w:p>
        </w:tc>
        <w:tc>
          <w:tcPr>
            <w:tcW w:w="396" w:type="pct"/>
            <w:vMerge w:val="restart"/>
            <w:noWrap/>
            <w:hideMark/>
          </w:tcPr>
          <w:p w14:paraId="26A73790" w14:textId="7036ECB2" w:rsidR="00FD60FD" w:rsidRPr="005C429C" w:rsidRDefault="00FD60FD" w:rsidP="00241C9A">
            <w:pPr>
              <w:jc w:val="both"/>
              <w:rPr>
                <w:rFonts w:ascii="Times New Roman" w:hAnsi="Times New Roman" w:cs="Times New Roman"/>
              </w:rPr>
            </w:pPr>
            <w:r w:rsidRPr="005C429C">
              <w:rPr>
                <w:rFonts w:ascii="Times New Roman" w:hAnsi="Times New Roman" w:cs="Times New Roman"/>
              </w:rPr>
              <w:t>Crenezumab</w:t>
            </w:r>
          </w:p>
        </w:tc>
        <w:tc>
          <w:tcPr>
            <w:tcW w:w="421" w:type="pct"/>
            <w:vMerge w:val="restart"/>
            <w:noWrap/>
            <w:hideMark/>
          </w:tcPr>
          <w:p w14:paraId="7EDDBA6C"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100 weeks</w:t>
            </w:r>
          </w:p>
          <w:p w14:paraId="780B60E8" w14:textId="1B45AA70" w:rsidR="00FD60FD" w:rsidRPr="005C429C" w:rsidRDefault="00FD60FD" w:rsidP="00B63A86">
            <w:pPr>
              <w:jc w:val="both"/>
              <w:rPr>
                <w:rFonts w:ascii="Times New Roman" w:hAnsi="Times New Roman" w:cs="Times New Roman"/>
              </w:rPr>
            </w:pPr>
            <w:r w:rsidRPr="005C429C">
              <w:rPr>
                <w:rFonts w:ascii="Times New Roman" w:hAnsi="Times New Roman" w:cs="Times New Roman"/>
              </w:rPr>
              <w:t> </w:t>
            </w:r>
          </w:p>
        </w:tc>
        <w:tc>
          <w:tcPr>
            <w:tcW w:w="1248" w:type="pct"/>
            <w:noWrap/>
            <w:hideMark/>
          </w:tcPr>
          <w:p w14:paraId="67919D10"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Placebo</w:t>
            </w:r>
          </w:p>
        </w:tc>
        <w:tc>
          <w:tcPr>
            <w:tcW w:w="516" w:type="pct"/>
            <w:noWrap/>
            <w:hideMark/>
          </w:tcPr>
          <w:p w14:paraId="58436785"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409</w:t>
            </w:r>
          </w:p>
        </w:tc>
        <w:tc>
          <w:tcPr>
            <w:tcW w:w="950" w:type="pct"/>
            <w:noWrap/>
            <w:hideMark/>
          </w:tcPr>
          <w:p w14:paraId="2CE74B0F"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42.8</w:t>
            </w:r>
          </w:p>
        </w:tc>
        <w:tc>
          <w:tcPr>
            <w:tcW w:w="375" w:type="pct"/>
            <w:noWrap/>
            <w:hideMark/>
          </w:tcPr>
          <w:p w14:paraId="40374DF3"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57.2</w:t>
            </w:r>
          </w:p>
        </w:tc>
      </w:tr>
      <w:tr w:rsidR="00241C9A" w:rsidRPr="005C429C" w14:paraId="629044A6" w14:textId="77777777" w:rsidTr="008B293B">
        <w:trPr>
          <w:trHeight w:val="284"/>
        </w:trPr>
        <w:tc>
          <w:tcPr>
            <w:tcW w:w="542" w:type="pct"/>
            <w:vMerge/>
            <w:noWrap/>
            <w:hideMark/>
          </w:tcPr>
          <w:p w14:paraId="7CB86C0F" w14:textId="696442FF" w:rsidR="00FD60FD" w:rsidRPr="005C429C" w:rsidRDefault="00FD60FD" w:rsidP="00B63A86">
            <w:pPr>
              <w:jc w:val="both"/>
              <w:rPr>
                <w:rFonts w:ascii="Times New Roman" w:hAnsi="Times New Roman" w:cs="Times New Roman"/>
              </w:rPr>
            </w:pPr>
          </w:p>
        </w:tc>
        <w:tc>
          <w:tcPr>
            <w:tcW w:w="551" w:type="pct"/>
            <w:vMerge/>
            <w:noWrap/>
            <w:hideMark/>
          </w:tcPr>
          <w:p w14:paraId="4A168910" w14:textId="7E38E436" w:rsidR="00FD60FD" w:rsidRPr="005C429C" w:rsidRDefault="00FD60FD" w:rsidP="00B63A86">
            <w:pPr>
              <w:jc w:val="both"/>
              <w:rPr>
                <w:rFonts w:ascii="Times New Roman" w:hAnsi="Times New Roman" w:cs="Times New Roman"/>
              </w:rPr>
            </w:pPr>
          </w:p>
        </w:tc>
        <w:tc>
          <w:tcPr>
            <w:tcW w:w="396" w:type="pct"/>
            <w:vMerge/>
            <w:noWrap/>
            <w:hideMark/>
          </w:tcPr>
          <w:p w14:paraId="5D951057" w14:textId="063D696A" w:rsidR="00FD60FD" w:rsidRPr="005C429C" w:rsidRDefault="00FD60FD" w:rsidP="00B63A86">
            <w:pPr>
              <w:jc w:val="both"/>
              <w:rPr>
                <w:rFonts w:ascii="Times New Roman" w:hAnsi="Times New Roman" w:cs="Times New Roman"/>
              </w:rPr>
            </w:pPr>
          </w:p>
        </w:tc>
        <w:tc>
          <w:tcPr>
            <w:tcW w:w="421" w:type="pct"/>
            <w:vMerge/>
            <w:noWrap/>
            <w:hideMark/>
          </w:tcPr>
          <w:p w14:paraId="3AA0B82A" w14:textId="2C2E14B9" w:rsidR="00FD60FD" w:rsidRPr="005C429C" w:rsidRDefault="00FD60FD" w:rsidP="00B63A86">
            <w:pPr>
              <w:jc w:val="both"/>
              <w:rPr>
                <w:rFonts w:ascii="Times New Roman" w:hAnsi="Times New Roman" w:cs="Times New Roman"/>
              </w:rPr>
            </w:pPr>
          </w:p>
        </w:tc>
        <w:tc>
          <w:tcPr>
            <w:tcW w:w="1248" w:type="pct"/>
            <w:noWrap/>
            <w:hideMark/>
          </w:tcPr>
          <w:p w14:paraId="42C605F0"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60 mg/kg</w:t>
            </w:r>
          </w:p>
        </w:tc>
        <w:tc>
          <w:tcPr>
            <w:tcW w:w="516" w:type="pct"/>
            <w:noWrap/>
            <w:hideMark/>
          </w:tcPr>
          <w:p w14:paraId="41DEAA7E"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404</w:t>
            </w:r>
          </w:p>
        </w:tc>
        <w:tc>
          <w:tcPr>
            <w:tcW w:w="950" w:type="pct"/>
            <w:noWrap/>
            <w:hideMark/>
          </w:tcPr>
          <w:p w14:paraId="163F899B"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42.3</w:t>
            </w:r>
          </w:p>
        </w:tc>
        <w:tc>
          <w:tcPr>
            <w:tcW w:w="375" w:type="pct"/>
            <w:noWrap/>
            <w:hideMark/>
          </w:tcPr>
          <w:p w14:paraId="1E8EAD04"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57.7</w:t>
            </w:r>
          </w:p>
        </w:tc>
      </w:tr>
      <w:tr w:rsidR="00241C9A" w:rsidRPr="005C429C" w14:paraId="64C5A4CE" w14:textId="77777777" w:rsidTr="008B293B">
        <w:trPr>
          <w:trHeight w:val="284"/>
        </w:trPr>
        <w:tc>
          <w:tcPr>
            <w:tcW w:w="542" w:type="pct"/>
            <w:vMerge w:val="restart"/>
            <w:noWrap/>
            <w:hideMark/>
          </w:tcPr>
          <w:p w14:paraId="53A6781C" w14:textId="0977C7D1" w:rsidR="00FD60FD" w:rsidRPr="005C429C" w:rsidRDefault="00FD60FD" w:rsidP="00241C9A">
            <w:pPr>
              <w:jc w:val="both"/>
              <w:rPr>
                <w:rFonts w:ascii="Times New Roman" w:hAnsi="Times New Roman" w:cs="Times New Roman"/>
              </w:rPr>
            </w:pPr>
            <w:r w:rsidRPr="005C429C">
              <w:rPr>
                <w:rFonts w:ascii="Times New Roman" w:hAnsi="Times New Roman" w:cs="Times New Roman"/>
              </w:rPr>
              <w:t>CREAD2</w:t>
            </w:r>
          </w:p>
        </w:tc>
        <w:tc>
          <w:tcPr>
            <w:tcW w:w="551" w:type="pct"/>
            <w:vMerge w:val="restart"/>
            <w:noWrap/>
            <w:hideMark/>
          </w:tcPr>
          <w:p w14:paraId="345AA1EA" w14:textId="16418C92" w:rsidR="00FD60FD" w:rsidRPr="005C429C" w:rsidRDefault="00FD60FD" w:rsidP="00241C9A">
            <w:pPr>
              <w:jc w:val="both"/>
              <w:rPr>
                <w:rFonts w:ascii="Times New Roman" w:hAnsi="Times New Roman" w:cs="Times New Roman"/>
              </w:rPr>
            </w:pPr>
            <w:r w:rsidRPr="005C429C">
              <w:rPr>
                <w:rFonts w:ascii="Times New Roman" w:hAnsi="Times New Roman" w:cs="Times New Roman"/>
              </w:rPr>
              <w:t>NCT03114657</w:t>
            </w:r>
          </w:p>
        </w:tc>
        <w:tc>
          <w:tcPr>
            <w:tcW w:w="396" w:type="pct"/>
            <w:vMerge w:val="restart"/>
            <w:noWrap/>
            <w:hideMark/>
          </w:tcPr>
          <w:p w14:paraId="14025C63" w14:textId="6AD4659D" w:rsidR="00FD60FD" w:rsidRPr="005C429C" w:rsidRDefault="00FD60FD" w:rsidP="00241C9A">
            <w:pPr>
              <w:jc w:val="both"/>
              <w:rPr>
                <w:rFonts w:ascii="Times New Roman" w:hAnsi="Times New Roman" w:cs="Times New Roman"/>
              </w:rPr>
            </w:pPr>
            <w:r w:rsidRPr="005C429C">
              <w:rPr>
                <w:rFonts w:ascii="Times New Roman" w:hAnsi="Times New Roman" w:cs="Times New Roman"/>
              </w:rPr>
              <w:t>Crenezumab</w:t>
            </w:r>
          </w:p>
        </w:tc>
        <w:tc>
          <w:tcPr>
            <w:tcW w:w="421" w:type="pct"/>
            <w:vMerge w:val="restart"/>
            <w:noWrap/>
            <w:hideMark/>
          </w:tcPr>
          <w:p w14:paraId="551699E9"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100 weeks</w:t>
            </w:r>
          </w:p>
          <w:p w14:paraId="399EF54B" w14:textId="5F1B634C" w:rsidR="00FD60FD" w:rsidRPr="005C429C" w:rsidRDefault="00FD60FD" w:rsidP="00B63A86">
            <w:pPr>
              <w:jc w:val="both"/>
              <w:rPr>
                <w:rFonts w:ascii="Times New Roman" w:hAnsi="Times New Roman" w:cs="Times New Roman"/>
              </w:rPr>
            </w:pPr>
            <w:r w:rsidRPr="005C429C">
              <w:rPr>
                <w:rFonts w:ascii="Times New Roman" w:hAnsi="Times New Roman" w:cs="Times New Roman"/>
              </w:rPr>
              <w:t> </w:t>
            </w:r>
          </w:p>
        </w:tc>
        <w:tc>
          <w:tcPr>
            <w:tcW w:w="1248" w:type="pct"/>
            <w:noWrap/>
            <w:hideMark/>
          </w:tcPr>
          <w:p w14:paraId="223501FC"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Placebo</w:t>
            </w:r>
          </w:p>
        </w:tc>
        <w:tc>
          <w:tcPr>
            <w:tcW w:w="516" w:type="pct"/>
            <w:noWrap/>
            <w:hideMark/>
          </w:tcPr>
          <w:p w14:paraId="6699DBD0"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399</w:t>
            </w:r>
          </w:p>
        </w:tc>
        <w:tc>
          <w:tcPr>
            <w:tcW w:w="950" w:type="pct"/>
            <w:noWrap/>
            <w:hideMark/>
          </w:tcPr>
          <w:p w14:paraId="3792AE67"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47.6</w:t>
            </w:r>
          </w:p>
        </w:tc>
        <w:tc>
          <w:tcPr>
            <w:tcW w:w="375" w:type="pct"/>
            <w:noWrap/>
            <w:hideMark/>
          </w:tcPr>
          <w:p w14:paraId="11397838"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52.4</w:t>
            </w:r>
          </w:p>
        </w:tc>
      </w:tr>
      <w:tr w:rsidR="00241C9A" w:rsidRPr="005C429C" w14:paraId="59597454" w14:textId="77777777" w:rsidTr="008B293B">
        <w:trPr>
          <w:trHeight w:val="284"/>
        </w:trPr>
        <w:tc>
          <w:tcPr>
            <w:tcW w:w="542" w:type="pct"/>
            <w:vMerge/>
            <w:noWrap/>
            <w:hideMark/>
          </w:tcPr>
          <w:p w14:paraId="0D504FFA" w14:textId="7FC5E5BA" w:rsidR="00FD60FD" w:rsidRPr="005C429C" w:rsidRDefault="00FD60FD" w:rsidP="00B63A86">
            <w:pPr>
              <w:jc w:val="both"/>
              <w:rPr>
                <w:rFonts w:ascii="Times New Roman" w:hAnsi="Times New Roman" w:cs="Times New Roman"/>
              </w:rPr>
            </w:pPr>
          </w:p>
        </w:tc>
        <w:tc>
          <w:tcPr>
            <w:tcW w:w="551" w:type="pct"/>
            <w:vMerge/>
            <w:noWrap/>
            <w:hideMark/>
          </w:tcPr>
          <w:p w14:paraId="5D18D4D4" w14:textId="459E4CDF" w:rsidR="00FD60FD" w:rsidRPr="005C429C" w:rsidRDefault="00FD60FD" w:rsidP="00B63A86">
            <w:pPr>
              <w:jc w:val="both"/>
              <w:rPr>
                <w:rFonts w:ascii="Times New Roman" w:hAnsi="Times New Roman" w:cs="Times New Roman"/>
              </w:rPr>
            </w:pPr>
          </w:p>
        </w:tc>
        <w:tc>
          <w:tcPr>
            <w:tcW w:w="396" w:type="pct"/>
            <w:vMerge/>
            <w:noWrap/>
            <w:hideMark/>
          </w:tcPr>
          <w:p w14:paraId="1CA9ACE6" w14:textId="1105470F" w:rsidR="00FD60FD" w:rsidRPr="005C429C" w:rsidRDefault="00FD60FD" w:rsidP="00B63A86">
            <w:pPr>
              <w:jc w:val="both"/>
              <w:rPr>
                <w:rFonts w:ascii="Times New Roman" w:hAnsi="Times New Roman" w:cs="Times New Roman"/>
              </w:rPr>
            </w:pPr>
          </w:p>
        </w:tc>
        <w:tc>
          <w:tcPr>
            <w:tcW w:w="421" w:type="pct"/>
            <w:vMerge/>
            <w:noWrap/>
            <w:hideMark/>
          </w:tcPr>
          <w:p w14:paraId="345AABE7" w14:textId="13483B46" w:rsidR="00FD60FD" w:rsidRPr="005C429C" w:rsidRDefault="00FD60FD" w:rsidP="00B63A86">
            <w:pPr>
              <w:jc w:val="both"/>
              <w:rPr>
                <w:rFonts w:ascii="Times New Roman" w:hAnsi="Times New Roman" w:cs="Times New Roman"/>
              </w:rPr>
            </w:pPr>
          </w:p>
        </w:tc>
        <w:tc>
          <w:tcPr>
            <w:tcW w:w="1248" w:type="pct"/>
            <w:noWrap/>
            <w:hideMark/>
          </w:tcPr>
          <w:p w14:paraId="1581872D"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60 mg/kg</w:t>
            </w:r>
          </w:p>
        </w:tc>
        <w:tc>
          <w:tcPr>
            <w:tcW w:w="516" w:type="pct"/>
            <w:noWrap/>
            <w:hideMark/>
          </w:tcPr>
          <w:p w14:paraId="252B7D0D"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407</w:t>
            </w:r>
          </w:p>
        </w:tc>
        <w:tc>
          <w:tcPr>
            <w:tcW w:w="950" w:type="pct"/>
            <w:noWrap/>
            <w:hideMark/>
          </w:tcPr>
          <w:p w14:paraId="10691BF0"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48.6</w:t>
            </w:r>
          </w:p>
        </w:tc>
        <w:tc>
          <w:tcPr>
            <w:tcW w:w="375" w:type="pct"/>
            <w:noWrap/>
            <w:hideMark/>
          </w:tcPr>
          <w:p w14:paraId="2B619337"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51.4</w:t>
            </w:r>
          </w:p>
        </w:tc>
      </w:tr>
      <w:tr w:rsidR="00241C9A" w:rsidRPr="005C429C" w14:paraId="28701EA9" w14:textId="77777777" w:rsidTr="008B293B">
        <w:trPr>
          <w:trHeight w:val="284"/>
        </w:trPr>
        <w:tc>
          <w:tcPr>
            <w:tcW w:w="542" w:type="pct"/>
            <w:vMerge w:val="restart"/>
            <w:noWrap/>
            <w:hideMark/>
          </w:tcPr>
          <w:p w14:paraId="57D0A211" w14:textId="354636DB" w:rsidR="00FD60FD" w:rsidRPr="005C429C" w:rsidRDefault="00FD60FD" w:rsidP="00FD60FD">
            <w:pPr>
              <w:jc w:val="both"/>
              <w:rPr>
                <w:rFonts w:ascii="Times New Roman" w:hAnsi="Times New Roman" w:cs="Times New Roman"/>
              </w:rPr>
            </w:pPr>
            <w:r w:rsidRPr="005C429C">
              <w:rPr>
                <w:rFonts w:ascii="Times New Roman" w:hAnsi="Times New Roman" w:cs="Times New Roman"/>
              </w:rPr>
              <w:t>EXPEDITION3</w:t>
            </w:r>
          </w:p>
        </w:tc>
        <w:tc>
          <w:tcPr>
            <w:tcW w:w="551" w:type="pct"/>
            <w:vMerge w:val="restart"/>
            <w:noWrap/>
            <w:hideMark/>
          </w:tcPr>
          <w:p w14:paraId="79E64110" w14:textId="714B2B32" w:rsidR="00FD60FD" w:rsidRPr="005C429C" w:rsidRDefault="00FD60FD" w:rsidP="00241C9A">
            <w:pPr>
              <w:jc w:val="both"/>
              <w:rPr>
                <w:rFonts w:ascii="Times New Roman" w:hAnsi="Times New Roman" w:cs="Times New Roman"/>
              </w:rPr>
            </w:pPr>
            <w:r w:rsidRPr="005C429C">
              <w:rPr>
                <w:rFonts w:ascii="Times New Roman" w:hAnsi="Times New Roman" w:cs="Times New Roman"/>
              </w:rPr>
              <w:t>NCT01900665 </w:t>
            </w:r>
          </w:p>
        </w:tc>
        <w:tc>
          <w:tcPr>
            <w:tcW w:w="396" w:type="pct"/>
            <w:vMerge w:val="restart"/>
            <w:noWrap/>
            <w:hideMark/>
          </w:tcPr>
          <w:p w14:paraId="115AE951" w14:textId="31CC7100" w:rsidR="00FD60FD" w:rsidRPr="005C429C" w:rsidRDefault="00FD60FD" w:rsidP="00FD60FD">
            <w:pPr>
              <w:jc w:val="both"/>
              <w:rPr>
                <w:rFonts w:ascii="Times New Roman" w:hAnsi="Times New Roman" w:cs="Times New Roman"/>
              </w:rPr>
            </w:pPr>
            <w:r w:rsidRPr="005C429C">
              <w:rPr>
                <w:rFonts w:ascii="Times New Roman" w:hAnsi="Times New Roman" w:cs="Times New Roman"/>
              </w:rPr>
              <w:t>Solanezumab</w:t>
            </w:r>
          </w:p>
        </w:tc>
        <w:tc>
          <w:tcPr>
            <w:tcW w:w="421" w:type="pct"/>
            <w:vMerge w:val="restart"/>
            <w:noWrap/>
            <w:hideMark/>
          </w:tcPr>
          <w:p w14:paraId="69C8B0AD"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76 weeks</w:t>
            </w:r>
          </w:p>
          <w:p w14:paraId="67B58E7B" w14:textId="532ED88E" w:rsidR="00FD60FD" w:rsidRPr="005C429C" w:rsidRDefault="00FD60FD" w:rsidP="00B63A86">
            <w:pPr>
              <w:jc w:val="both"/>
              <w:rPr>
                <w:rFonts w:ascii="Times New Roman" w:hAnsi="Times New Roman" w:cs="Times New Roman"/>
              </w:rPr>
            </w:pPr>
            <w:r w:rsidRPr="005C429C">
              <w:rPr>
                <w:rFonts w:ascii="Times New Roman" w:hAnsi="Times New Roman" w:cs="Times New Roman"/>
              </w:rPr>
              <w:t> </w:t>
            </w:r>
          </w:p>
        </w:tc>
        <w:tc>
          <w:tcPr>
            <w:tcW w:w="1248" w:type="pct"/>
            <w:noWrap/>
            <w:hideMark/>
          </w:tcPr>
          <w:p w14:paraId="3B27FE85"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Placebo</w:t>
            </w:r>
          </w:p>
        </w:tc>
        <w:tc>
          <w:tcPr>
            <w:tcW w:w="516" w:type="pct"/>
            <w:noWrap/>
            <w:hideMark/>
          </w:tcPr>
          <w:p w14:paraId="085BF522"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1072</w:t>
            </w:r>
          </w:p>
        </w:tc>
        <w:tc>
          <w:tcPr>
            <w:tcW w:w="1326" w:type="pct"/>
            <w:gridSpan w:val="2"/>
            <w:vMerge w:val="restart"/>
            <w:noWrap/>
            <w:hideMark/>
          </w:tcPr>
          <w:p w14:paraId="54890ACC" w14:textId="77B3F763" w:rsidR="00FD60FD" w:rsidRPr="005C429C" w:rsidRDefault="00FD60FD" w:rsidP="00FD60FD">
            <w:pPr>
              <w:jc w:val="both"/>
              <w:rPr>
                <w:rFonts w:ascii="Times New Roman" w:hAnsi="Times New Roman" w:cs="Times New Roman"/>
              </w:rPr>
            </w:pPr>
            <w:r w:rsidRPr="005C429C">
              <w:rPr>
                <w:rFonts w:ascii="Times New Roman" w:hAnsi="Times New Roman" w:cs="Times New Roman"/>
              </w:rPr>
              <w:t> mild dementia due to AD</w:t>
            </w:r>
          </w:p>
        </w:tc>
      </w:tr>
      <w:tr w:rsidR="00241C9A" w:rsidRPr="005C429C" w14:paraId="6CD38948" w14:textId="77777777" w:rsidTr="008B293B">
        <w:trPr>
          <w:trHeight w:val="284"/>
        </w:trPr>
        <w:tc>
          <w:tcPr>
            <w:tcW w:w="542" w:type="pct"/>
            <w:vMerge/>
            <w:noWrap/>
            <w:hideMark/>
          </w:tcPr>
          <w:p w14:paraId="7054F81B" w14:textId="547D9DE5" w:rsidR="00FD60FD" w:rsidRPr="005C429C" w:rsidRDefault="00FD60FD" w:rsidP="00B63A86">
            <w:pPr>
              <w:jc w:val="both"/>
              <w:rPr>
                <w:rFonts w:ascii="Times New Roman" w:hAnsi="Times New Roman" w:cs="Times New Roman"/>
              </w:rPr>
            </w:pPr>
          </w:p>
        </w:tc>
        <w:tc>
          <w:tcPr>
            <w:tcW w:w="551" w:type="pct"/>
            <w:vMerge/>
            <w:noWrap/>
            <w:hideMark/>
          </w:tcPr>
          <w:p w14:paraId="06BF254A" w14:textId="560F21D1" w:rsidR="00FD60FD" w:rsidRPr="005C429C" w:rsidRDefault="00FD60FD" w:rsidP="00B63A86">
            <w:pPr>
              <w:jc w:val="both"/>
              <w:rPr>
                <w:rFonts w:ascii="Times New Roman" w:hAnsi="Times New Roman" w:cs="Times New Roman"/>
              </w:rPr>
            </w:pPr>
          </w:p>
        </w:tc>
        <w:tc>
          <w:tcPr>
            <w:tcW w:w="396" w:type="pct"/>
            <w:vMerge/>
            <w:noWrap/>
            <w:hideMark/>
          </w:tcPr>
          <w:p w14:paraId="6E063690" w14:textId="47F553C0" w:rsidR="00FD60FD" w:rsidRPr="005C429C" w:rsidRDefault="00FD60FD" w:rsidP="00B63A86">
            <w:pPr>
              <w:jc w:val="both"/>
              <w:rPr>
                <w:rFonts w:ascii="Times New Roman" w:hAnsi="Times New Roman" w:cs="Times New Roman"/>
              </w:rPr>
            </w:pPr>
          </w:p>
        </w:tc>
        <w:tc>
          <w:tcPr>
            <w:tcW w:w="421" w:type="pct"/>
            <w:vMerge/>
            <w:noWrap/>
            <w:hideMark/>
          </w:tcPr>
          <w:p w14:paraId="7F68125E" w14:textId="453A5481" w:rsidR="00FD60FD" w:rsidRPr="005C429C" w:rsidRDefault="00FD60FD" w:rsidP="00B63A86">
            <w:pPr>
              <w:jc w:val="both"/>
              <w:rPr>
                <w:rFonts w:ascii="Times New Roman" w:hAnsi="Times New Roman" w:cs="Times New Roman"/>
              </w:rPr>
            </w:pPr>
          </w:p>
        </w:tc>
        <w:tc>
          <w:tcPr>
            <w:tcW w:w="1248" w:type="pct"/>
            <w:noWrap/>
            <w:hideMark/>
          </w:tcPr>
          <w:p w14:paraId="56959B41"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400 mg</w:t>
            </w:r>
          </w:p>
        </w:tc>
        <w:tc>
          <w:tcPr>
            <w:tcW w:w="516" w:type="pct"/>
            <w:noWrap/>
            <w:hideMark/>
          </w:tcPr>
          <w:p w14:paraId="4471F73C"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1057</w:t>
            </w:r>
          </w:p>
        </w:tc>
        <w:tc>
          <w:tcPr>
            <w:tcW w:w="1326" w:type="pct"/>
            <w:gridSpan w:val="2"/>
            <w:vMerge/>
            <w:noWrap/>
            <w:hideMark/>
          </w:tcPr>
          <w:p w14:paraId="5C8EC976" w14:textId="30783B51" w:rsidR="00FD60FD" w:rsidRPr="005C429C" w:rsidRDefault="00FD60FD" w:rsidP="00B63A86">
            <w:pPr>
              <w:jc w:val="both"/>
              <w:rPr>
                <w:rFonts w:ascii="Times New Roman" w:hAnsi="Times New Roman" w:cs="Times New Roman"/>
              </w:rPr>
            </w:pPr>
          </w:p>
        </w:tc>
      </w:tr>
      <w:tr w:rsidR="00241C9A" w:rsidRPr="005C429C" w14:paraId="207C8AEE" w14:textId="77777777" w:rsidTr="008B293B">
        <w:trPr>
          <w:trHeight w:val="284"/>
        </w:trPr>
        <w:tc>
          <w:tcPr>
            <w:tcW w:w="542" w:type="pct"/>
            <w:vMerge w:val="restart"/>
            <w:noWrap/>
            <w:hideMark/>
          </w:tcPr>
          <w:p w14:paraId="0A46920F" w14:textId="53395785" w:rsidR="00FD60FD" w:rsidRPr="005C429C" w:rsidRDefault="00FD60FD" w:rsidP="00241C9A">
            <w:pPr>
              <w:jc w:val="both"/>
              <w:rPr>
                <w:rFonts w:ascii="Times New Roman" w:hAnsi="Times New Roman" w:cs="Times New Roman"/>
              </w:rPr>
            </w:pPr>
            <w:r w:rsidRPr="005C429C">
              <w:rPr>
                <w:rFonts w:ascii="Times New Roman" w:hAnsi="Times New Roman" w:cs="Times New Roman"/>
              </w:rPr>
              <w:t>EXPEDITION EXT </w:t>
            </w:r>
          </w:p>
        </w:tc>
        <w:tc>
          <w:tcPr>
            <w:tcW w:w="551" w:type="pct"/>
            <w:vMerge w:val="restart"/>
            <w:noWrap/>
            <w:hideMark/>
          </w:tcPr>
          <w:p w14:paraId="505E0983" w14:textId="0512A4BE" w:rsidR="00FD60FD" w:rsidRPr="005C429C" w:rsidRDefault="00FD60FD" w:rsidP="00241C9A">
            <w:pPr>
              <w:jc w:val="both"/>
              <w:rPr>
                <w:rFonts w:ascii="Times New Roman" w:hAnsi="Times New Roman" w:cs="Times New Roman"/>
              </w:rPr>
            </w:pPr>
            <w:r w:rsidRPr="005C429C">
              <w:rPr>
                <w:rFonts w:ascii="Times New Roman" w:hAnsi="Times New Roman" w:cs="Times New Roman"/>
              </w:rPr>
              <w:t>NCT01127633</w:t>
            </w:r>
          </w:p>
        </w:tc>
        <w:tc>
          <w:tcPr>
            <w:tcW w:w="396" w:type="pct"/>
            <w:vMerge w:val="restart"/>
            <w:noWrap/>
            <w:hideMark/>
          </w:tcPr>
          <w:p w14:paraId="429FCC0B" w14:textId="3746C359" w:rsidR="00FD60FD" w:rsidRPr="005C429C" w:rsidRDefault="00FD60FD" w:rsidP="00FD60FD">
            <w:pPr>
              <w:jc w:val="both"/>
              <w:rPr>
                <w:rFonts w:ascii="Times New Roman" w:hAnsi="Times New Roman" w:cs="Times New Roman"/>
              </w:rPr>
            </w:pPr>
            <w:r w:rsidRPr="005C429C">
              <w:rPr>
                <w:rFonts w:ascii="Times New Roman" w:hAnsi="Times New Roman" w:cs="Times New Roman"/>
              </w:rPr>
              <w:t>Solanezumab</w:t>
            </w:r>
          </w:p>
        </w:tc>
        <w:tc>
          <w:tcPr>
            <w:tcW w:w="421" w:type="pct"/>
            <w:vMerge w:val="restart"/>
            <w:noWrap/>
            <w:hideMark/>
          </w:tcPr>
          <w:p w14:paraId="0F4079F2"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104</w:t>
            </w:r>
          </w:p>
          <w:p w14:paraId="07639997" w14:textId="3792E6FF" w:rsidR="00FD60FD" w:rsidRPr="005C429C" w:rsidRDefault="00FD60FD" w:rsidP="00B63A86">
            <w:pPr>
              <w:jc w:val="both"/>
              <w:rPr>
                <w:rFonts w:ascii="Times New Roman" w:hAnsi="Times New Roman" w:cs="Times New Roman"/>
              </w:rPr>
            </w:pPr>
            <w:r w:rsidRPr="005C429C">
              <w:rPr>
                <w:rFonts w:ascii="Times New Roman" w:hAnsi="Times New Roman" w:cs="Times New Roman"/>
              </w:rPr>
              <w:t> </w:t>
            </w:r>
          </w:p>
        </w:tc>
        <w:tc>
          <w:tcPr>
            <w:tcW w:w="1248" w:type="pct"/>
            <w:noWrap/>
            <w:hideMark/>
          </w:tcPr>
          <w:p w14:paraId="1307F64C"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Placebo</w:t>
            </w:r>
          </w:p>
        </w:tc>
        <w:tc>
          <w:tcPr>
            <w:tcW w:w="516" w:type="pct"/>
            <w:noWrap/>
            <w:hideMark/>
          </w:tcPr>
          <w:p w14:paraId="33807D2E"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723</w:t>
            </w:r>
          </w:p>
        </w:tc>
        <w:tc>
          <w:tcPr>
            <w:tcW w:w="1326" w:type="pct"/>
            <w:gridSpan w:val="2"/>
            <w:vMerge w:val="restart"/>
            <w:noWrap/>
            <w:hideMark/>
          </w:tcPr>
          <w:p w14:paraId="6AB64ABD" w14:textId="01171EFF" w:rsidR="00FD60FD" w:rsidRPr="005C429C" w:rsidRDefault="00FD60FD" w:rsidP="00B63A86">
            <w:pPr>
              <w:jc w:val="both"/>
              <w:rPr>
                <w:rFonts w:ascii="Times New Roman" w:hAnsi="Times New Roman" w:cs="Times New Roman"/>
              </w:rPr>
            </w:pPr>
            <w:r w:rsidRPr="005C429C">
              <w:rPr>
                <w:rFonts w:ascii="Times New Roman" w:hAnsi="Times New Roman" w:cs="Times New Roman"/>
              </w:rPr>
              <w:t> mild dementia due to AD </w:t>
            </w:r>
          </w:p>
          <w:p w14:paraId="6B406556" w14:textId="6E5E2BF2" w:rsidR="00FD60FD" w:rsidRPr="005C429C" w:rsidRDefault="00FD60FD" w:rsidP="00B63A86">
            <w:pPr>
              <w:jc w:val="both"/>
              <w:rPr>
                <w:rFonts w:ascii="Times New Roman" w:hAnsi="Times New Roman" w:cs="Times New Roman"/>
              </w:rPr>
            </w:pPr>
            <w:r w:rsidRPr="005C429C">
              <w:rPr>
                <w:rFonts w:ascii="Times New Roman" w:hAnsi="Times New Roman" w:cs="Times New Roman"/>
              </w:rPr>
              <w:t> </w:t>
            </w:r>
          </w:p>
        </w:tc>
      </w:tr>
      <w:tr w:rsidR="00241C9A" w:rsidRPr="005C429C" w14:paraId="54C41FE8" w14:textId="77777777" w:rsidTr="008B293B">
        <w:trPr>
          <w:trHeight w:val="284"/>
        </w:trPr>
        <w:tc>
          <w:tcPr>
            <w:tcW w:w="542" w:type="pct"/>
            <w:vMerge/>
            <w:noWrap/>
            <w:hideMark/>
          </w:tcPr>
          <w:p w14:paraId="64EA9B82" w14:textId="7A43FED3" w:rsidR="00FD60FD" w:rsidRPr="005C429C" w:rsidRDefault="00FD60FD" w:rsidP="00B63A86">
            <w:pPr>
              <w:jc w:val="both"/>
              <w:rPr>
                <w:rFonts w:ascii="Times New Roman" w:hAnsi="Times New Roman" w:cs="Times New Roman"/>
              </w:rPr>
            </w:pPr>
          </w:p>
        </w:tc>
        <w:tc>
          <w:tcPr>
            <w:tcW w:w="551" w:type="pct"/>
            <w:vMerge/>
            <w:noWrap/>
            <w:hideMark/>
          </w:tcPr>
          <w:p w14:paraId="175CBC45" w14:textId="0B1243FC" w:rsidR="00FD60FD" w:rsidRPr="005C429C" w:rsidRDefault="00FD60FD" w:rsidP="00B63A86">
            <w:pPr>
              <w:jc w:val="both"/>
              <w:rPr>
                <w:rFonts w:ascii="Times New Roman" w:hAnsi="Times New Roman" w:cs="Times New Roman"/>
              </w:rPr>
            </w:pPr>
          </w:p>
        </w:tc>
        <w:tc>
          <w:tcPr>
            <w:tcW w:w="396" w:type="pct"/>
            <w:vMerge/>
            <w:noWrap/>
            <w:hideMark/>
          </w:tcPr>
          <w:p w14:paraId="5BAF6813" w14:textId="2CDACF16" w:rsidR="00FD60FD" w:rsidRPr="005C429C" w:rsidRDefault="00FD60FD" w:rsidP="00B63A86">
            <w:pPr>
              <w:jc w:val="both"/>
              <w:rPr>
                <w:rFonts w:ascii="Times New Roman" w:hAnsi="Times New Roman" w:cs="Times New Roman"/>
              </w:rPr>
            </w:pPr>
          </w:p>
        </w:tc>
        <w:tc>
          <w:tcPr>
            <w:tcW w:w="421" w:type="pct"/>
            <w:vMerge/>
            <w:noWrap/>
            <w:hideMark/>
          </w:tcPr>
          <w:p w14:paraId="733885E7" w14:textId="00887D6D" w:rsidR="00FD60FD" w:rsidRPr="005C429C" w:rsidRDefault="00FD60FD" w:rsidP="00B63A86">
            <w:pPr>
              <w:jc w:val="both"/>
              <w:rPr>
                <w:rFonts w:ascii="Times New Roman" w:hAnsi="Times New Roman" w:cs="Times New Roman"/>
              </w:rPr>
            </w:pPr>
          </w:p>
        </w:tc>
        <w:tc>
          <w:tcPr>
            <w:tcW w:w="1248" w:type="pct"/>
            <w:noWrap/>
            <w:hideMark/>
          </w:tcPr>
          <w:p w14:paraId="5A75E96D"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400 mg</w:t>
            </w:r>
          </w:p>
        </w:tc>
        <w:tc>
          <w:tcPr>
            <w:tcW w:w="516" w:type="pct"/>
            <w:noWrap/>
            <w:hideMark/>
          </w:tcPr>
          <w:p w14:paraId="7888D3D6"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734</w:t>
            </w:r>
          </w:p>
        </w:tc>
        <w:tc>
          <w:tcPr>
            <w:tcW w:w="1326" w:type="pct"/>
            <w:gridSpan w:val="2"/>
            <w:vMerge/>
            <w:noWrap/>
            <w:hideMark/>
          </w:tcPr>
          <w:p w14:paraId="3B76B9D6" w14:textId="35C32692" w:rsidR="00FD60FD" w:rsidRPr="005C429C" w:rsidRDefault="00FD60FD" w:rsidP="00B63A86">
            <w:pPr>
              <w:jc w:val="both"/>
              <w:rPr>
                <w:rFonts w:ascii="Times New Roman" w:hAnsi="Times New Roman" w:cs="Times New Roman"/>
              </w:rPr>
            </w:pPr>
          </w:p>
        </w:tc>
      </w:tr>
      <w:tr w:rsidR="00241C9A" w:rsidRPr="005C429C" w14:paraId="53617FAB" w14:textId="77777777" w:rsidTr="008B293B">
        <w:trPr>
          <w:trHeight w:val="284"/>
        </w:trPr>
        <w:tc>
          <w:tcPr>
            <w:tcW w:w="542" w:type="pct"/>
            <w:vMerge w:val="restart"/>
            <w:noWrap/>
            <w:hideMark/>
          </w:tcPr>
          <w:p w14:paraId="0308E6F8" w14:textId="59DF64CD" w:rsidR="00FD60FD" w:rsidRPr="005C429C" w:rsidRDefault="00FD60FD" w:rsidP="00241C9A">
            <w:pPr>
              <w:jc w:val="both"/>
              <w:rPr>
                <w:rFonts w:ascii="Times New Roman" w:hAnsi="Times New Roman" w:cs="Times New Roman"/>
              </w:rPr>
            </w:pPr>
            <w:r w:rsidRPr="005C429C">
              <w:rPr>
                <w:rFonts w:ascii="Times New Roman" w:hAnsi="Times New Roman" w:cs="Times New Roman"/>
              </w:rPr>
              <w:t>A4 </w:t>
            </w:r>
          </w:p>
        </w:tc>
        <w:tc>
          <w:tcPr>
            <w:tcW w:w="551" w:type="pct"/>
            <w:vMerge w:val="restart"/>
            <w:noWrap/>
            <w:hideMark/>
          </w:tcPr>
          <w:p w14:paraId="079169DA" w14:textId="30C0FB42" w:rsidR="00FD60FD" w:rsidRPr="005C429C" w:rsidRDefault="00FD60FD" w:rsidP="00241C9A">
            <w:pPr>
              <w:jc w:val="both"/>
              <w:rPr>
                <w:rFonts w:ascii="Times New Roman" w:hAnsi="Times New Roman" w:cs="Times New Roman"/>
              </w:rPr>
            </w:pPr>
            <w:r w:rsidRPr="005C429C">
              <w:rPr>
                <w:rFonts w:ascii="Times New Roman" w:hAnsi="Times New Roman" w:cs="Times New Roman"/>
              </w:rPr>
              <w:t>NCT02008357 </w:t>
            </w:r>
          </w:p>
        </w:tc>
        <w:tc>
          <w:tcPr>
            <w:tcW w:w="396" w:type="pct"/>
            <w:vMerge w:val="restart"/>
            <w:noWrap/>
            <w:hideMark/>
          </w:tcPr>
          <w:p w14:paraId="709674AF" w14:textId="2E83FD57" w:rsidR="00FD60FD" w:rsidRPr="005C429C" w:rsidRDefault="00FD60FD" w:rsidP="00FD60FD">
            <w:pPr>
              <w:jc w:val="both"/>
              <w:rPr>
                <w:rFonts w:ascii="Times New Roman" w:hAnsi="Times New Roman" w:cs="Times New Roman"/>
              </w:rPr>
            </w:pPr>
            <w:r w:rsidRPr="005C429C">
              <w:rPr>
                <w:rFonts w:ascii="Times New Roman" w:hAnsi="Times New Roman" w:cs="Times New Roman"/>
              </w:rPr>
              <w:t>Solanezumab </w:t>
            </w:r>
          </w:p>
        </w:tc>
        <w:tc>
          <w:tcPr>
            <w:tcW w:w="421" w:type="pct"/>
            <w:vMerge w:val="restart"/>
            <w:noWrap/>
            <w:hideMark/>
          </w:tcPr>
          <w:p w14:paraId="4D5E1C09"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240 weeks</w:t>
            </w:r>
          </w:p>
          <w:p w14:paraId="57076004" w14:textId="2E666421" w:rsidR="00FD60FD" w:rsidRPr="005C429C" w:rsidRDefault="00FD60FD" w:rsidP="00B63A86">
            <w:pPr>
              <w:jc w:val="both"/>
              <w:rPr>
                <w:rFonts w:ascii="Times New Roman" w:hAnsi="Times New Roman" w:cs="Times New Roman"/>
              </w:rPr>
            </w:pPr>
            <w:r w:rsidRPr="005C429C">
              <w:rPr>
                <w:rFonts w:ascii="Times New Roman" w:hAnsi="Times New Roman" w:cs="Times New Roman"/>
              </w:rPr>
              <w:t> </w:t>
            </w:r>
          </w:p>
        </w:tc>
        <w:tc>
          <w:tcPr>
            <w:tcW w:w="1248" w:type="pct"/>
            <w:noWrap/>
            <w:hideMark/>
          </w:tcPr>
          <w:p w14:paraId="50FB4D26"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Placebo</w:t>
            </w:r>
          </w:p>
        </w:tc>
        <w:tc>
          <w:tcPr>
            <w:tcW w:w="516" w:type="pct"/>
            <w:noWrap/>
            <w:hideMark/>
          </w:tcPr>
          <w:p w14:paraId="53CB8086"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583</w:t>
            </w:r>
          </w:p>
        </w:tc>
        <w:tc>
          <w:tcPr>
            <w:tcW w:w="1326" w:type="pct"/>
            <w:gridSpan w:val="2"/>
            <w:vMerge w:val="restart"/>
            <w:noWrap/>
            <w:hideMark/>
          </w:tcPr>
          <w:p w14:paraId="1CE87C44" w14:textId="665C2FEB" w:rsidR="00FD60FD" w:rsidRPr="005C429C" w:rsidRDefault="00FD60FD" w:rsidP="00B63A86">
            <w:pPr>
              <w:jc w:val="both"/>
              <w:rPr>
                <w:rFonts w:ascii="Times New Roman" w:hAnsi="Times New Roman" w:cs="Times New Roman"/>
              </w:rPr>
            </w:pPr>
            <w:r w:rsidRPr="005C429C">
              <w:rPr>
                <w:rFonts w:ascii="Times New Roman" w:hAnsi="Times New Roman" w:cs="Times New Roman"/>
              </w:rPr>
              <w:t> Unknown</w:t>
            </w:r>
          </w:p>
          <w:p w14:paraId="6087C370" w14:textId="1DF4096F" w:rsidR="00FD60FD" w:rsidRPr="005C429C" w:rsidRDefault="00FD60FD" w:rsidP="00B63A86">
            <w:pPr>
              <w:jc w:val="both"/>
              <w:rPr>
                <w:rFonts w:ascii="Times New Roman" w:hAnsi="Times New Roman" w:cs="Times New Roman"/>
              </w:rPr>
            </w:pPr>
            <w:r w:rsidRPr="005C429C">
              <w:rPr>
                <w:rFonts w:ascii="Times New Roman" w:hAnsi="Times New Roman" w:cs="Times New Roman"/>
              </w:rPr>
              <w:t> </w:t>
            </w:r>
          </w:p>
        </w:tc>
      </w:tr>
      <w:tr w:rsidR="00241C9A" w:rsidRPr="005C429C" w14:paraId="2E535294" w14:textId="77777777" w:rsidTr="008B293B">
        <w:trPr>
          <w:trHeight w:val="284"/>
        </w:trPr>
        <w:tc>
          <w:tcPr>
            <w:tcW w:w="542" w:type="pct"/>
            <w:vMerge/>
            <w:noWrap/>
            <w:hideMark/>
          </w:tcPr>
          <w:p w14:paraId="5E6BB71C" w14:textId="5D1EAAAC" w:rsidR="00FD60FD" w:rsidRPr="005C429C" w:rsidRDefault="00FD60FD" w:rsidP="00B63A86">
            <w:pPr>
              <w:jc w:val="both"/>
              <w:rPr>
                <w:rFonts w:ascii="Times New Roman" w:hAnsi="Times New Roman" w:cs="Times New Roman"/>
              </w:rPr>
            </w:pPr>
          </w:p>
        </w:tc>
        <w:tc>
          <w:tcPr>
            <w:tcW w:w="551" w:type="pct"/>
            <w:vMerge/>
            <w:noWrap/>
            <w:hideMark/>
          </w:tcPr>
          <w:p w14:paraId="655C8DE7" w14:textId="6DE63840" w:rsidR="00FD60FD" w:rsidRPr="005C429C" w:rsidRDefault="00FD60FD" w:rsidP="00B63A86">
            <w:pPr>
              <w:jc w:val="both"/>
              <w:rPr>
                <w:rFonts w:ascii="Times New Roman" w:hAnsi="Times New Roman" w:cs="Times New Roman"/>
              </w:rPr>
            </w:pPr>
          </w:p>
        </w:tc>
        <w:tc>
          <w:tcPr>
            <w:tcW w:w="396" w:type="pct"/>
            <w:vMerge/>
            <w:noWrap/>
            <w:hideMark/>
          </w:tcPr>
          <w:p w14:paraId="2ABCC3DE" w14:textId="3FFEC361" w:rsidR="00FD60FD" w:rsidRPr="005C429C" w:rsidRDefault="00FD60FD" w:rsidP="00B63A86">
            <w:pPr>
              <w:jc w:val="both"/>
              <w:rPr>
                <w:rFonts w:ascii="Times New Roman" w:hAnsi="Times New Roman" w:cs="Times New Roman"/>
              </w:rPr>
            </w:pPr>
          </w:p>
        </w:tc>
        <w:tc>
          <w:tcPr>
            <w:tcW w:w="421" w:type="pct"/>
            <w:vMerge/>
            <w:noWrap/>
            <w:hideMark/>
          </w:tcPr>
          <w:p w14:paraId="26B2D32C" w14:textId="5EB12826" w:rsidR="00FD60FD" w:rsidRPr="005C429C" w:rsidRDefault="00FD60FD" w:rsidP="00B63A86">
            <w:pPr>
              <w:jc w:val="both"/>
              <w:rPr>
                <w:rFonts w:ascii="Times New Roman" w:hAnsi="Times New Roman" w:cs="Times New Roman"/>
              </w:rPr>
            </w:pPr>
          </w:p>
        </w:tc>
        <w:tc>
          <w:tcPr>
            <w:tcW w:w="1248" w:type="pct"/>
            <w:noWrap/>
            <w:hideMark/>
          </w:tcPr>
          <w:p w14:paraId="355C0950"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1600 mg</w:t>
            </w:r>
          </w:p>
        </w:tc>
        <w:tc>
          <w:tcPr>
            <w:tcW w:w="516" w:type="pct"/>
            <w:noWrap/>
            <w:hideMark/>
          </w:tcPr>
          <w:p w14:paraId="26DE2319"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564</w:t>
            </w:r>
          </w:p>
        </w:tc>
        <w:tc>
          <w:tcPr>
            <w:tcW w:w="1326" w:type="pct"/>
            <w:gridSpan w:val="2"/>
            <w:vMerge/>
            <w:noWrap/>
            <w:hideMark/>
          </w:tcPr>
          <w:p w14:paraId="0392B5C1" w14:textId="51530E2B" w:rsidR="00FD60FD" w:rsidRPr="005C429C" w:rsidRDefault="00FD60FD" w:rsidP="00B63A86">
            <w:pPr>
              <w:jc w:val="both"/>
              <w:rPr>
                <w:rFonts w:ascii="Times New Roman" w:hAnsi="Times New Roman" w:cs="Times New Roman"/>
              </w:rPr>
            </w:pPr>
          </w:p>
        </w:tc>
      </w:tr>
      <w:tr w:rsidR="00241C9A" w:rsidRPr="005C429C" w14:paraId="7B9D0F31" w14:textId="77777777" w:rsidTr="008B293B">
        <w:trPr>
          <w:trHeight w:val="284"/>
        </w:trPr>
        <w:tc>
          <w:tcPr>
            <w:tcW w:w="542" w:type="pct"/>
            <w:vMerge w:val="restart"/>
            <w:noWrap/>
            <w:hideMark/>
          </w:tcPr>
          <w:p w14:paraId="668F5CE4" w14:textId="6A2B045B" w:rsidR="00FD60FD" w:rsidRPr="005C429C" w:rsidRDefault="00FD60FD" w:rsidP="00B63A86">
            <w:pPr>
              <w:jc w:val="both"/>
              <w:rPr>
                <w:rFonts w:ascii="Times New Roman" w:hAnsi="Times New Roman" w:cs="Times New Roman"/>
                <w:b/>
                <w:bCs/>
              </w:rPr>
            </w:pPr>
            <w:r w:rsidRPr="005C429C">
              <w:rPr>
                <w:rFonts w:ascii="Times New Roman" w:hAnsi="Times New Roman" w:cs="Times New Roman"/>
              </w:rPr>
              <w:t>DIAN-TU-001</w:t>
            </w:r>
            <w:r w:rsidRPr="005C429C">
              <w:rPr>
                <w:rFonts w:ascii="Times New Roman" w:hAnsi="Times New Roman" w:cs="Times New Roman"/>
                <w:b/>
                <w:bCs/>
              </w:rPr>
              <w:t> </w:t>
            </w:r>
          </w:p>
          <w:p w14:paraId="4D93CAB6" w14:textId="24EB8BCB" w:rsidR="00FD60FD" w:rsidRPr="005C429C" w:rsidRDefault="00FD60FD" w:rsidP="00B63A86">
            <w:pPr>
              <w:jc w:val="both"/>
              <w:rPr>
                <w:rFonts w:ascii="Times New Roman" w:hAnsi="Times New Roman" w:cs="Times New Roman"/>
              </w:rPr>
            </w:pPr>
            <w:r w:rsidRPr="005C429C">
              <w:rPr>
                <w:rFonts w:ascii="Times New Roman" w:hAnsi="Times New Roman" w:cs="Times New Roman"/>
              </w:rPr>
              <w:t> </w:t>
            </w:r>
          </w:p>
        </w:tc>
        <w:tc>
          <w:tcPr>
            <w:tcW w:w="551" w:type="pct"/>
            <w:vMerge w:val="restart"/>
            <w:noWrap/>
            <w:hideMark/>
          </w:tcPr>
          <w:p w14:paraId="7B8FFA2A" w14:textId="7673E937" w:rsidR="00FD60FD" w:rsidRPr="005C429C" w:rsidRDefault="00FD60FD" w:rsidP="00B63A86">
            <w:pPr>
              <w:jc w:val="both"/>
              <w:rPr>
                <w:rFonts w:ascii="Times New Roman" w:hAnsi="Times New Roman" w:cs="Times New Roman"/>
              </w:rPr>
            </w:pPr>
            <w:r w:rsidRPr="005C429C">
              <w:rPr>
                <w:rFonts w:ascii="Times New Roman" w:hAnsi="Times New Roman" w:cs="Times New Roman"/>
              </w:rPr>
              <w:t>NCT04623242 </w:t>
            </w:r>
          </w:p>
          <w:p w14:paraId="39D484E1" w14:textId="5D7D1A63" w:rsidR="00FD60FD" w:rsidRPr="005C429C" w:rsidRDefault="00FD60FD" w:rsidP="00B63A86">
            <w:pPr>
              <w:jc w:val="both"/>
              <w:rPr>
                <w:rFonts w:ascii="Times New Roman" w:hAnsi="Times New Roman" w:cs="Times New Roman"/>
              </w:rPr>
            </w:pPr>
            <w:r w:rsidRPr="005C429C">
              <w:rPr>
                <w:rFonts w:ascii="Times New Roman" w:hAnsi="Times New Roman" w:cs="Times New Roman"/>
              </w:rPr>
              <w:t> </w:t>
            </w:r>
          </w:p>
        </w:tc>
        <w:tc>
          <w:tcPr>
            <w:tcW w:w="396" w:type="pct"/>
            <w:vMerge w:val="restart"/>
            <w:noWrap/>
            <w:hideMark/>
          </w:tcPr>
          <w:p w14:paraId="28FA80A2" w14:textId="03F75113" w:rsidR="00FD60FD" w:rsidRPr="005C429C" w:rsidRDefault="00FD60FD" w:rsidP="00FD60FD">
            <w:pPr>
              <w:jc w:val="both"/>
              <w:rPr>
                <w:rFonts w:ascii="Times New Roman" w:hAnsi="Times New Roman" w:cs="Times New Roman"/>
              </w:rPr>
            </w:pPr>
            <w:r w:rsidRPr="005C429C">
              <w:rPr>
                <w:rFonts w:ascii="Times New Roman" w:hAnsi="Times New Roman" w:cs="Times New Roman"/>
              </w:rPr>
              <w:t>Gantenerumab</w:t>
            </w:r>
          </w:p>
        </w:tc>
        <w:tc>
          <w:tcPr>
            <w:tcW w:w="421" w:type="pct"/>
            <w:vMerge w:val="restart"/>
            <w:noWrap/>
            <w:hideMark/>
          </w:tcPr>
          <w:p w14:paraId="1DC59A3B" w14:textId="57C6E5CE" w:rsidR="00FD60FD" w:rsidRPr="005C429C" w:rsidRDefault="00FD60FD" w:rsidP="00B63A86">
            <w:pPr>
              <w:jc w:val="both"/>
              <w:rPr>
                <w:rFonts w:ascii="Times New Roman" w:hAnsi="Times New Roman" w:cs="Times New Roman"/>
              </w:rPr>
            </w:pPr>
            <w:r w:rsidRPr="005C429C">
              <w:rPr>
                <w:rFonts w:ascii="Times New Roman" w:hAnsi="Times New Roman" w:cs="Times New Roman"/>
              </w:rPr>
              <w:t>4-7 years </w:t>
            </w:r>
          </w:p>
          <w:p w14:paraId="2D2598F9" w14:textId="40BA91F7" w:rsidR="00FD60FD" w:rsidRPr="005C429C" w:rsidRDefault="00FD60FD" w:rsidP="00B63A86">
            <w:pPr>
              <w:jc w:val="both"/>
              <w:rPr>
                <w:rFonts w:ascii="Times New Roman" w:hAnsi="Times New Roman" w:cs="Times New Roman"/>
              </w:rPr>
            </w:pPr>
            <w:r w:rsidRPr="005C429C">
              <w:rPr>
                <w:rFonts w:ascii="Times New Roman" w:hAnsi="Times New Roman" w:cs="Times New Roman"/>
              </w:rPr>
              <w:t> </w:t>
            </w:r>
          </w:p>
        </w:tc>
        <w:tc>
          <w:tcPr>
            <w:tcW w:w="1248" w:type="pct"/>
            <w:noWrap/>
            <w:hideMark/>
          </w:tcPr>
          <w:p w14:paraId="166A654C"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Placebo</w:t>
            </w:r>
          </w:p>
        </w:tc>
        <w:tc>
          <w:tcPr>
            <w:tcW w:w="516" w:type="pct"/>
            <w:noWrap/>
            <w:hideMark/>
          </w:tcPr>
          <w:p w14:paraId="0ABCCA1D"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40</w:t>
            </w:r>
          </w:p>
        </w:tc>
        <w:tc>
          <w:tcPr>
            <w:tcW w:w="1326" w:type="pct"/>
            <w:gridSpan w:val="2"/>
            <w:vMerge w:val="restart"/>
            <w:noWrap/>
            <w:hideMark/>
          </w:tcPr>
          <w:p w14:paraId="4909E7CD" w14:textId="046AEF60" w:rsidR="00FD60FD" w:rsidRPr="005C429C" w:rsidRDefault="00FD60FD" w:rsidP="00B63A86">
            <w:pPr>
              <w:jc w:val="both"/>
              <w:rPr>
                <w:rFonts w:ascii="Times New Roman" w:hAnsi="Times New Roman" w:cs="Times New Roman"/>
              </w:rPr>
            </w:pPr>
            <w:r w:rsidRPr="005C429C">
              <w:rPr>
                <w:rFonts w:ascii="Times New Roman" w:hAnsi="Times New Roman" w:cs="Times New Roman"/>
              </w:rPr>
              <w:t>dominantly inherited AD  </w:t>
            </w:r>
          </w:p>
          <w:p w14:paraId="07A2622D" w14:textId="1C0E779F" w:rsidR="00FD60FD" w:rsidRPr="005C429C" w:rsidRDefault="00FD60FD" w:rsidP="00B63A86">
            <w:pPr>
              <w:jc w:val="both"/>
              <w:rPr>
                <w:rFonts w:ascii="Times New Roman" w:hAnsi="Times New Roman" w:cs="Times New Roman"/>
              </w:rPr>
            </w:pPr>
            <w:r w:rsidRPr="005C429C">
              <w:rPr>
                <w:rFonts w:ascii="Times New Roman" w:hAnsi="Times New Roman" w:cs="Times New Roman"/>
              </w:rPr>
              <w:t> </w:t>
            </w:r>
          </w:p>
        </w:tc>
      </w:tr>
      <w:tr w:rsidR="00241C9A" w:rsidRPr="005C429C" w14:paraId="2B1C6AE9" w14:textId="77777777" w:rsidTr="008B293B">
        <w:trPr>
          <w:trHeight w:val="284"/>
        </w:trPr>
        <w:tc>
          <w:tcPr>
            <w:tcW w:w="542" w:type="pct"/>
            <w:vMerge/>
            <w:noWrap/>
            <w:hideMark/>
          </w:tcPr>
          <w:p w14:paraId="535CC981" w14:textId="1D84B1AD" w:rsidR="00FD60FD" w:rsidRPr="005C429C" w:rsidRDefault="00FD60FD" w:rsidP="00B63A86">
            <w:pPr>
              <w:jc w:val="both"/>
              <w:rPr>
                <w:rFonts w:ascii="Times New Roman" w:hAnsi="Times New Roman" w:cs="Times New Roman"/>
                <w:b/>
                <w:bCs/>
              </w:rPr>
            </w:pPr>
          </w:p>
        </w:tc>
        <w:tc>
          <w:tcPr>
            <w:tcW w:w="551" w:type="pct"/>
            <w:vMerge/>
            <w:noWrap/>
            <w:hideMark/>
          </w:tcPr>
          <w:p w14:paraId="29AB39B3" w14:textId="614ACB19" w:rsidR="00FD60FD" w:rsidRPr="005C429C" w:rsidRDefault="00FD60FD" w:rsidP="00B63A86">
            <w:pPr>
              <w:jc w:val="both"/>
              <w:rPr>
                <w:rFonts w:ascii="Times New Roman" w:hAnsi="Times New Roman" w:cs="Times New Roman"/>
              </w:rPr>
            </w:pPr>
          </w:p>
        </w:tc>
        <w:tc>
          <w:tcPr>
            <w:tcW w:w="396" w:type="pct"/>
            <w:vMerge/>
            <w:noWrap/>
            <w:hideMark/>
          </w:tcPr>
          <w:p w14:paraId="28D147B8" w14:textId="6BCE424E" w:rsidR="00FD60FD" w:rsidRPr="005C429C" w:rsidRDefault="00FD60FD" w:rsidP="00B63A86">
            <w:pPr>
              <w:jc w:val="both"/>
              <w:rPr>
                <w:rFonts w:ascii="Times New Roman" w:hAnsi="Times New Roman" w:cs="Times New Roman"/>
              </w:rPr>
            </w:pPr>
          </w:p>
        </w:tc>
        <w:tc>
          <w:tcPr>
            <w:tcW w:w="421" w:type="pct"/>
            <w:vMerge/>
            <w:noWrap/>
            <w:hideMark/>
          </w:tcPr>
          <w:p w14:paraId="7FB92074" w14:textId="13EF34EA" w:rsidR="00FD60FD" w:rsidRPr="005C429C" w:rsidRDefault="00FD60FD" w:rsidP="00B63A86">
            <w:pPr>
              <w:jc w:val="both"/>
              <w:rPr>
                <w:rFonts w:ascii="Times New Roman" w:hAnsi="Times New Roman" w:cs="Times New Roman"/>
              </w:rPr>
            </w:pPr>
          </w:p>
        </w:tc>
        <w:tc>
          <w:tcPr>
            <w:tcW w:w="1248" w:type="pct"/>
            <w:noWrap/>
            <w:hideMark/>
          </w:tcPr>
          <w:p w14:paraId="7C1EEE55"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Solanezumab 400 mg to 1600 mg</w:t>
            </w:r>
          </w:p>
        </w:tc>
        <w:tc>
          <w:tcPr>
            <w:tcW w:w="516" w:type="pct"/>
            <w:noWrap/>
            <w:hideMark/>
          </w:tcPr>
          <w:p w14:paraId="49AA3E2C"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50</w:t>
            </w:r>
          </w:p>
        </w:tc>
        <w:tc>
          <w:tcPr>
            <w:tcW w:w="1326" w:type="pct"/>
            <w:gridSpan w:val="2"/>
            <w:vMerge/>
            <w:noWrap/>
            <w:hideMark/>
          </w:tcPr>
          <w:p w14:paraId="1A90410E" w14:textId="5427BDEF" w:rsidR="00FD60FD" w:rsidRPr="005C429C" w:rsidRDefault="00FD60FD" w:rsidP="00B63A86">
            <w:pPr>
              <w:jc w:val="both"/>
              <w:rPr>
                <w:rFonts w:ascii="Times New Roman" w:hAnsi="Times New Roman" w:cs="Times New Roman"/>
              </w:rPr>
            </w:pPr>
          </w:p>
        </w:tc>
      </w:tr>
      <w:tr w:rsidR="00241C9A" w:rsidRPr="005C429C" w14:paraId="16112D80" w14:textId="77777777" w:rsidTr="008B293B">
        <w:trPr>
          <w:trHeight w:val="284"/>
        </w:trPr>
        <w:tc>
          <w:tcPr>
            <w:tcW w:w="542" w:type="pct"/>
            <w:vMerge/>
            <w:noWrap/>
            <w:hideMark/>
          </w:tcPr>
          <w:p w14:paraId="7C3E48A7" w14:textId="5A2F0B83" w:rsidR="00FD60FD" w:rsidRPr="005C429C" w:rsidRDefault="00FD60FD" w:rsidP="00B63A86">
            <w:pPr>
              <w:jc w:val="both"/>
              <w:rPr>
                <w:rFonts w:ascii="Times New Roman" w:hAnsi="Times New Roman" w:cs="Times New Roman"/>
              </w:rPr>
            </w:pPr>
          </w:p>
        </w:tc>
        <w:tc>
          <w:tcPr>
            <w:tcW w:w="551" w:type="pct"/>
            <w:vMerge/>
            <w:noWrap/>
            <w:hideMark/>
          </w:tcPr>
          <w:p w14:paraId="7C7630F7" w14:textId="2D9E9E76" w:rsidR="00FD60FD" w:rsidRPr="005C429C" w:rsidRDefault="00FD60FD" w:rsidP="00B63A86">
            <w:pPr>
              <w:jc w:val="both"/>
              <w:rPr>
                <w:rFonts w:ascii="Times New Roman" w:hAnsi="Times New Roman" w:cs="Times New Roman"/>
              </w:rPr>
            </w:pPr>
          </w:p>
        </w:tc>
        <w:tc>
          <w:tcPr>
            <w:tcW w:w="396" w:type="pct"/>
            <w:vMerge/>
            <w:noWrap/>
            <w:hideMark/>
          </w:tcPr>
          <w:p w14:paraId="5D416F23" w14:textId="01DA67C6" w:rsidR="00FD60FD" w:rsidRPr="005C429C" w:rsidRDefault="00FD60FD" w:rsidP="00B63A86">
            <w:pPr>
              <w:jc w:val="both"/>
              <w:rPr>
                <w:rFonts w:ascii="Times New Roman" w:hAnsi="Times New Roman" w:cs="Times New Roman"/>
              </w:rPr>
            </w:pPr>
          </w:p>
        </w:tc>
        <w:tc>
          <w:tcPr>
            <w:tcW w:w="421" w:type="pct"/>
            <w:vMerge/>
            <w:noWrap/>
            <w:hideMark/>
          </w:tcPr>
          <w:p w14:paraId="325171D9" w14:textId="5A7D964C" w:rsidR="00FD60FD" w:rsidRPr="005C429C" w:rsidRDefault="00FD60FD" w:rsidP="00B63A86">
            <w:pPr>
              <w:jc w:val="both"/>
              <w:rPr>
                <w:rFonts w:ascii="Times New Roman" w:hAnsi="Times New Roman" w:cs="Times New Roman"/>
              </w:rPr>
            </w:pPr>
          </w:p>
        </w:tc>
        <w:tc>
          <w:tcPr>
            <w:tcW w:w="1248" w:type="pct"/>
            <w:noWrap/>
            <w:hideMark/>
          </w:tcPr>
          <w:p w14:paraId="79896D64"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Gantenerumab 225 mg to 1200 mg</w:t>
            </w:r>
          </w:p>
        </w:tc>
        <w:tc>
          <w:tcPr>
            <w:tcW w:w="516" w:type="pct"/>
            <w:noWrap/>
            <w:hideMark/>
          </w:tcPr>
          <w:p w14:paraId="2836942F" w14:textId="77777777" w:rsidR="00FD60FD" w:rsidRPr="005C429C" w:rsidRDefault="00FD60FD" w:rsidP="00B63A86">
            <w:pPr>
              <w:jc w:val="both"/>
              <w:rPr>
                <w:rFonts w:ascii="Times New Roman" w:hAnsi="Times New Roman" w:cs="Times New Roman"/>
              </w:rPr>
            </w:pPr>
            <w:r w:rsidRPr="005C429C">
              <w:rPr>
                <w:rFonts w:ascii="Times New Roman" w:hAnsi="Times New Roman" w:cs="Times New Roman"/>
              </w:rPr>
              <w:t>52</w:t>
            </w:r>
          </w:p>
        </w:tc>
        <w:tc>
          <w:tcPr>
            <w:tcW w:w="1326" w:type="pct"/>
            <w:gridSpan w:val="2"/>
            <w:vMerge/>
            <w:noWrap/>
            <w:hideMark/>
          </w:tcPr>
          <w:p w14:paraId="2C9CCA7F" w14:textId="50770EA8" w:rsidR="00FD60FD" w:rsidRPr="005C429C" w:rsidRDefault="00FD60FD" w:rsidP="00B63A86">
            <w:pPr>
              <w:jc w:val="both"/>
              <w:rPr>
                <w:rFonts w:ascii="Times New Roman" w:hAnsi="Times New Roman" w:cs="Times New Roman"/>
              </w:rPr>
            </w:pPr>
          </w:p>
        </w:tc>
      </w:tr>
    </w:tbl>
    <w:p w14:paraId="0BDD014C" w14:textId="3434F5A6" w:rsidR="00624DF1" w:rsidRPr="005C429C" w:rsidRDefault="002A0A20" w:rsidP="00DB55E9">
      <w:pPr>
        <w:jc w:val="both"/>
        <w:rPr>
          <w:rFonts w:ascii="Times New Roman" w:hAnsi="Times New Roman" w:cs="Times New Roman"/>
          <w:sz w:val="28"/>
          <w:szCs w:val="28"/>
        </w:rPr>
      </w:pPr>
      <w:r w:rsidRPr="005C429C">
        <w:rPr>
          <w:rFonts w:ascii="Times New Roman" w:hAnsi="Times New Roman" w:cs="Times New Roman"/>
        </w:rPr>
        <w:t>MCI, mild cognitive impairment; AD, Alzheimer’s disease</w:t>
      </w:r>
      <w:r w:rsidR="00A80D13" w:rsidRPr="005C429C">
        <w:rPr>
          <w:rFonts w:ascii="Times New Roman" w:hAnsi="Times New Roman" w:cs="Times New Roman"/>
        </w:rPr>
        <w:t>.</w:t>
      </w:r>
    </w:p>
    <w:p w14:paraId="40D35246" w14:textId="77777777" w:rsidR="00624DF1" w:rsidRDefault="00624DF1" w:rsidP="00DB55E9">
      <w:pPr>
        <w:jc w:val="both"/>
        <w:rPr>
          <w:rFonts w:ascii="Times New Roman" w:hAnsi="Times New Roman" w:cs="Times New Roman"/>
          <w:sz w:val="28"/>
          <w:szCs w:val="28"/>
        </w:rPr>
      </w:pPr>
    </w:p>
    <w:p w14:paraId="6E894A47" w14:textId="77777777" w:rsidR="00241C9A" w:rsidRPr="005C429C" w:rsidRDefault="00241C9A" w:rsidP="00DB55E9">
      <w:pPr>
        <w:jc w:val="both"/>
        <w:rPr>
          <w:rFonts w:ascii="Times New Roman" w:hAnsi="Times New Roman" w:cs="Times New Roman"/>
          <w:sz w:val="28"/>
          <w:szCs w:val="28"/>
        </w:rPr>
      </w:pPr>
    </w:p>
    <w:p w14:paraId="021EF82A" w14:textId="77777777" w:rsidR="00624DF1" w:rsidRPr="005C429C" w:rsidRDefault="00624DF1" w:rsidP="00DB55E9">
      <w:pPr>
        <w:jc w:val="both"/>
        <w:rPr>
          <w:rFonts w:ascii="Times New Roman" w:hAnsi="Times New Roman" w:cs="Times New Roman"/>
          <w:sz w:val="28"/>
          <w:szCs w:val="28"/>
        </w:rPr>
      </w:pPr>
    </w:p>
    <w:p w14:paraId="23FAF77D" w14:textId="08FED180" w:rsidR="004445D1" w:rsidRPr="005C429C" w:rsidRDefault="00241C9A" w:rsidP="00DB55E9">
      <w:pPr>
        <w:jc w:val="both"/>
        <w:rPr>
          <w:rFonts w:ascii="Times New Roman" w:hAnsi="Times New Roman" w:cs="Times New Roman"/>
          <w:sz w:val="28"/>
          <w:szCs w:val="28"/>
        </w:rPr>
      </w:pPr>
      <w:r>
        <w:rPr>
          <w:rFonts w:ascii="Times New Roman" w:hAnsi="Times New Roman" w:cs="Times New Roman"/>
          <w:sz w:val="28"/>
          <w:szCs w:val="28"/>
        </w:rPr>
        <w:t>A</w:t>
      </w:r>
      <w:r w:rsidR="00AD4C3C" w:rsidRPr="005C429C">
        <w:rPr>
          <w:rFonts w:ascii="Times New Roman" w:hAnsi="Times New Roman" w:cs="Times New Roman"/>
          <w:sz w:val="28"/>
          <w:szCs w:val="28"/>
        </w:rPr>
        <w:t>ppendix C</w:t>
      </w:r>
      <w:r w:rsidR="004445D1" w:rsidRPr="005C429C">
        <w:rPr>
          <w:rFonts w:ascii="Times New Roman" w:hAnsi="Times New Roman" w:cs="Times New Roman"/>
          <w:sz w:val="28"/>
          <w:szCs w:val="28"/>
        </w:rPr>
        <w:t>. Further Results</w:t>
      </w:r>
    </w:p>
    <w:p w14:paraId="1CF2EFE8" w14:textId="243F76A1" w:rsidR="00023DAC" w:rsidRPr="005C429C" w:rsidRDefault="00AD4C3C" w:rsidP="00DB55E9">
      <w:pPr>
        <w:jc w:val="both"/>
        <w:rPr>
          <w:rFonts w:ascii="Times New Roman" w:hAnsi="Times New Roman" w:cs="Times New Roman"/>
          <w:sz w:val="24"/>
          <w:szCs w:val="24"/>
        </w:rPr>
      </w:pPr>
      <w:r w:rsidRPr="005C429C">
        <w:rPr>
          <w:rFonts w:ascii="Times New Roman" w:hAnsi="Times New Roman" w:cs="Times New Roman"/>
          <w:sz w:val="24"/>
          <w:szCs w:val="24"/>
        </w:rPr>
        <w:t>Appendix C</w:t>
      </w:r>
      <w:r w:rsidR="00023DAC" w:rsidRPr="005C429C">
        <w:rPr>
          <w:rFonts w:ascii="Times New Roman" w:hAnsi="Times New Roman" w:cs="Times New Roman"/>
          <w:sz w:val="24"/>
          <w:szCs w:val="24"/>
        </w:rPr>
        <w:t>1. Cross validations and predictions for the analysis of surrogate relationships across all trials of MABs</w:t>
      </w:r>
    </w:p>
    <w:p w14:paraId="2EEA47C3" w14:textId="3F9810F1" w:rsidR="00023DAC" w:rsidRPr="005C429C" w:rsidRDefault="00023DAC" w:rsidP="00DB55E9">
      <w:pPr>
        <w:jc w:val="both"/>
        <w:rPr>
          <w:rFonts w:ascii="Times New Roman" w:hAnsi="Times New Roman" w:cs="Times New Roman"/>
          <w:sz w:val="24"/>
          <w:szCs w:val="24"/>
        </w:rPr>
      </w:pPr>
      <w:r w:rsidRPr="005C429C">
        <w:rPr>
          <w:rFonts w:ascii="Times New Roman" w:hAnsi="Times New Roman" w:cs="Times New Roman"/>
          <w:sz w:val="24"/>
          <w:szCs w:val="24"/>
        </w:rPr>
        <w:t xml:space="preserve">Leave-one-out cross-validation was performed to evaluate the predictive value of Aβ as a surrogate endpoint for CDR-SOB. The Daniels and Hughes model showed a good coverage with 95% of the predicted intervals including the observed estimates of the effects on CDR-SOB. The average absolute difference between the observed and predicted effect estimates was 0.32, and the average ratio of the width of intervals between the predicted and observed treatment effect was 1.24. A forest plot showing the observed effects and predicted effects of CDR-SOB for each study are presented in </w:t>
      </w:r>
      <w:r w:rsidR="00BC3A1A" w:rsidRPr="005C429C">
        <w:rPr>
          <w:rFonts w:ascii="Times New Roman" w:hAnsi="Times New Roman" w:cs="Times New Roman"/>
          <w:sz w:val="24"/>
          <w:szCs w:val="24"/>
        </w:rPr>
        <w:t>Figure S</w:t>
      </w:r>
      <w:r w:rsidRPr="005C429C">
        <w:rPr>
          <w:rFonts w:ascii="Times New Roman" w:hAnsi="Times New Roman" w:cs="Times New Roman"/>
          <w:sz w:val="24"/>
          <w:szCs w:val="24"/>
        </w:rPr>
        <w:t>1.</w:t>
      </w:r>
    </w:p>
    <w:p w14:paraId="6CCFD6D2" w14:textId="64032AA5" w:rsidR="00023DAC" w:rsidRPr="005C429C" w:rsidRDefault="00023DAC" w:rsidP="00DB55E9">
      <w:pPr>
        <w:pStyle w:val="NormalWeb"/>
        <w:jc w:val="both"/>
        <w:rPr>
          <w:sz w:val="22"/>
          <w:szCs w:val="22"/>
        </w:rPr>
      </w:pPr>
      <w:r w:rsidRPr="005C429C">
        <w:rPr>
          <w:noProof/>
        </w:rPr>
        <w:drawing>
          <wp:inline distT="0" distB="0" distL="0" distR="0" wp14:anchorId="7C7129B6" wp14:editId="1C5A379C">
            <wp:extent cx="5731510" cy="3343275"/>
            <wp:effectExtent l="0" t="0" r="2540" b="9525"/>
            <wp:docPr id="2134159476"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731510" cy="3343275"/>
                    </a:xfrm>
                    <a:prstGeom prst="rect">
                      <a:avLst/>
                    </a:prstGeom>
                    <a:noFill/>
                    <a:ln>
                      <a:noFill/>
                    </a:ln>
                  </pic:spPr>
                </pic:pic>
              </a:graphicData>
            </a:graphic>
          </wp:inline>
        </w:drawing>
      </w:r>
      <w:r w:rsidR="00BC3A1A" w:rsidRPr="005C429C">
        <w:rPr>
          <w:sz w:val="22"/>
          <w:szCs w:val="22"/>
        </w:rPr>
        <w:t>Figure S</w:t>
      </w:r>
      <w:r w:rsidRPr="005C429C">
        <w:rPr>
          <w:sz w:val="22"/>
          <w:szCs w:val="22"/>
        </w:rPr>
        <w:t>1. Forest plot illustrating the observed treatment on Clinical Dementia Rating – Sum of Boxes (CDR-SOB) and the corresponding predicted effect on CDR-SOB using Daniels and Hughes model.</w:t>
      </w:r>
    </w:p>
    <w:p w14:paraId="73968124" w14:textId="4D11D1A5" w:rsidR="004445D1" w:rsidRPr="005C429C" w:rsidRDefault="00AD4C3C" w:rsidP="00DB55E9">
      <w:pPr>
        <w:jc w:val="both"/>
        <w:rPr>
          <w:rFonts w:ascii="Times New Roman" w:hAnsi="Times New Roman" w:cs="Times New Roman"/>
          <w:sz w:val="24"/>
          <w:szCs w:val="24"/>
        </w:rPr>
      </w:pPr>
      <w:r w:rsidRPr="005C429C">
        <w:rPr>
          <w:rFonts w:ascii="Times New Roman" w:hAnsi="Times New Roman" w:cs="Times New Roman"/>
          <w:sz w:val="24"/>
          <w:szCs w:val="24"/>
        </w:rPr>
        <w:t>Appendix C</w:t>
      </w:r>
      <w:r w:rsidR="00023DAC" w:rsidRPr="005C429C">
        <w:rPr>
          <w:rFonts w:ascii="Times New Roman" w:hAnsi="Times New Roman" w:cs="Times New Roman"/>
          <w:sz w:val="24"/>
          <w:szCs w:val="24"/>
        </w:rPr>
        <w:t>2</w:t>
      </w:r>
      <w:r w:rsidR="004445D1" w:rsidRPr="005C429C">
        <w:rPr>
          <w:rFonts w:ascii="Times New Roman" w:hAnsi="Times New Roman" w:cs="Times New Roman"/>
          <w:sz w:val="24"/>
          <w:szCs w:val="24"/>
        </w:rPr>
        <w:t xml:space="preserve">. </w:t>
      </w:r>
      <w:r w:rsidR="00023DAC" w:rsidRPr="005C429C">
        <w:rPr>
          <w:rFonts w:ascii="Times New Roman" w:hAnsi="Times New Roman" w:cs="Times New Roman"/>
          <w:sz w:val="24"/>
          <w:szCs w:val="24"/>
        </w:rPr>
        <w:t>Further a</w:t>
      </w:r>
      <w:r w:rsidR="004445D1" w:rsidRPr="005C429C">
        <w:rPr>
          <w:rFonts w:ascii="Times New Roman" w:hAnsi="Times New Roman" w:cs="Times New Roman"/>
          <w:sz w:val="24"/>
          <w:szCs w:val="24"/>
        </w:rPr>
        <w:t>nalyses for evaluating surrogate relationship across all trials of MABs</w:t>
      </w:r>
    </w:p>
    <w:p w14:paraId="5F455173" w14:textId="60291AC7" w:rsidR="00A13436" w:rsidRPr="005C429C" w:rsidRDefault="00215521" w:rsidP="00DB55E9">
      <w:pPr>
        <w:jc w:val="both"/>
        <w:rPr>
          <w:rFonts w:ascii="Times New Roman" w:hAnsi="Times New Roman" w:cs="Times New Roman"/>
        </w:rPr>
      </w:pPr>
      <w:r w:rsidRPr="005C429C">
        <w:rPr>
          <w:rFonts w:ascii="Times New Roman" w:hAnsi="Times New Roman" w:cs="Times New Roman"/>
        </w:rPr>
        <w:t>A</w:t>
      </w:r>
      <w:r w:rsidR="004445D1" w:rsidRPr="005C429C">
        <w:rPr>
          <w:rFonts w:ascii="Times New Roman" w:hAnsi="Times New Roman" w:cs="Times New Roman"/>
        </w:rPr>
        <w:t>nalyses were</w:t>
      </w:r>
      <w:r w:rsidRPr="005C429C">
        <w:rPr>
          <w:rFonts w:ascii="Times New Roman" w:hAnsi="Times New Roman" w:cs="Times New Roman"/>
        </w:rPr>
        <w:t xml:space="preserve"> also</w:t>
      </w:r>
      <w:r w:rsidR="004445D1" w:rsidRPr="005C429C">
        <w:rPr>
          <w:rFonts w:ascii="Times New Roman" w:hAnsi="Times New Roman" w:cs="Times New Roman"/>
        </w:rPr>
        <w:t xml:space="preserve"> conducted to explore the </w:t>
      </w:r>
      <w:r w:rsidR="002C4223" w:rsidRPr="005C429C">
        <w:rPr>
          <w:rFonts w:ascii="Times New Roman" w:hAnsi="Times New Roman" w:cs="Times New Roman"/>
        </w:rPr>
        <w:t xml:space="preserve">overall </w:t>
      </w:r>
      <w:r w:rsidR="004445D1" w:rsidRPr="005C429C">
        <w:rPr>
          <w:rFonts w:ascii="Times New Roman" w:hAnsi="Times New Roman" w:cs="Times New Roman"/>
        </w:rPr>
        <w:t xml:space="preserve">surrogate relationship between treatment effects on </w:t>
      </w:r>
      <w:r w:rsidR="000E15EC" w:rsidRPr="005C429C">
        <w:rPr>
          <w:rFonts w:ascii="Times New Roman" w:hAnsi="Times New Roman" w:cs="Times New Roman"/>
        </w:rPr>
        <w:t>Aβ</w:t>
      </w:r>
      <w:r w:rsidR="004445D1" w:rsidRPr="005C429C">
        <w:rPr>
          <w:rFonts w:ascii="Times New Roman" w:hAnsi="Times New Roman" w:cs="Times New Roman"/>
        </w:rPr>
        <w:t xml:space="preserve"> SUVR and </w:t>
      </w:r>
      <w:r w:rsidR="002C4223" w:rsidRPr="005C429C">
        <w:rPr>
          <w:rFonts w:ascii="Times New Roman" w:hAnsi="Times New Roman" w:cs="Times New Roman"/>
        </w:rPr>
        <w:t xml:space="preserve">other </w:t>
      </w:r>
      <w:r w:rsidR="004445D1" w:rsidRPr="005C429C">
        <w:rPr>
          <w:rFonts w:ascii="Times New Roman" w:hAnsi="Times New Roman" w:cs="Times New Roman"/>
        </w:rPr>
        <w:t>c</w:t>
      </w:r>
      <w:r w:rsidR="00972341" w:rsidRPr="005C429C">
        <w:rPr>
          <w:rFonts w:ascii="Times New Roman" w:hAnsi="Times New Roman" w:cs="Times New Roman"/>
        </w:rPr>
        <w:t>linical outcomes</w:t>
      </w:r>
      <w:r w:rsidR="004445D1" w:rsidRPr="005C429C">
        <w:rPr>
          <w:rFonts w:ascii="Times New Roman" w:hAnsi="Times New Roman" w:cs="Times New Roman"/>
        </w:rPr>
        <w:t>.</w:t>
      </w:r>
      <w:r w:rsidR="00215419" w:rsidRPr="005C429C">
        <w:rPr>
          <w:rFonts w:ascii="Times New Roman" w:hAnsi="Times New Roman" w:cs="Times New Roman"/>
        </w:rPr>
        <w:t xml:space="preserve"> </w:t>
      </w:r>
      <w:r w:rsidR="00C55F8F" w:rsidRPr="005C429C">
        <w:rPr>
          <w:rFonts w:ascii="Times New Roman" w:hAnsi="Times New Roman" w:cs="Times New Roman"/>
        </w:rPr>
        <w:t xml:space="preserve">The surrogate relationship between treatment effects on </w:t>
      </w:r>
      <w:r w:rsidR="000E15EC" w:rsidRPr="005C429C">
        <w:rPr>
          <w:rFonts w:ascii="Times New Roman" w:hAnsi="Times New Roman" w:cs="Times New Roman"/>
        </w:rPr>
        <w:t>Aβ</w:t>
      </w:r>
      <w:r w:rsidR="00C55F8F" w:rsidRPr="005C429C">
        <w:rPr>
          <w:rFonts w:ascii="Times New Roman" w:hAnsi="Times New Roman" w:cs="Times New Roman"/>
        </w:rPr>
        <w:t xml:space="preserve"> SUVR and ADAS-Cog was</w:t>
      </w:r>
      <w:r w:rsidR="00972341" w:rsidRPr="005C429C">
        <w:rPr>
          <w:rFonts w:ascii="Times New Roman" w:hAnsi="Times New Roman" w:cs="Times New Roman"/>
        </w:rPr>
        <w:t xml:space="preserve"> estimated to be weak</w:t>
      </w:r>
      <w:bookmarkStart w:id="1" w:name="_Hlk174809451"/>
      <w:r w:rsidR="00C55F8F" w:rsidRPr="005C429C">
        <w:rPr>
          <w:rFonts w:ascii="Times New Roman" w:hAnsi="Times New Roman" w:cs="Times New Roman"/>
        </w:rPr>
        <w:t>, with slope 3.</w:t>
      </w:r>
      <w:r w:rsidR="00AD57B5" w:rsidRPr="005C429C">
        <w:rPr>
          <w:rFonts w:ascii="Times New Roman" w:hAnsi="Times New Roman" w:cs="Times New Roman"/>
        </w:rPr>
        <w:t>71</w:t>
      </w:r>
      <w:r w:rsidR="00C55F8F" w:rsidRPr="005C429C">
        <w:rPr>
          <w:rFonts w:ascii="Times New Roman" w:hAnsi="Times New Roman" w:cs="Times New Roman"/>
        </w:rPr>
        <w:t xml:space="preserve"> (95% CrI: 1.</w:t>
      </w:r>
      <w:r w:rsidR="00AD57B5" w:rsidRPr="005C429C">
        <w:rPr>
          <w:rFonts w:ascii="Times New Roman" w:hAnsi="Times New Roman" w:cs="Times New Roman"/>
        </w:rPr>
        <w:t>4</w:t>
      </w:r>
      <w:r w:rsidR="00C55F8F" w:rsidRPr="005C429C">
        <w:rPr>
          <w:rFonts w:ascii="Times New Roman" w:hAnsi="Times New Roman" w:cs="Times New Roman"/>
        </w:rPr>
        <w:t xml:space="preserve">4, </w:t>
      </w:r>
      <w:r w:rsidR="00AD57B5" w:rsidRPr="005C429C">
        <w:rPr>
          <w:rFonts w:ascii="Times New Roman" w:hAnsi="Times New Roman" w:cs="Times New Roman"/>
        </w:rPr>
        <w:t>6</w:t>
      </w:r>
      <w:r w:rsidR="00C55F8F" w:rsidRPr="005C429C">
        <w:rPr>
          <w:rFonts w:ascii="Times New Roman" w:hAnsi="Times New Roman" w:cs="Times New Roman"/>
        </w:rPr>
        <w:t>.</w:t>
      </w:r>
      <w:r w:rsidR="00AD57B5" w:rsidRPr="005C429C">
        <w:rPr>
          <w:rFonts w:ascii="Times New Roman" w:hAnsi="Times New Roman" w:cs="Times New Roman"/>
        </w:rPr>
        <w:t>05</w:t>
      </w:r>
      <w:r w:rsidR="00C55F8F" w:rsidRPr="005C429C">
        <w:rPr>
          <w:rFonts w:ascii="Times New Roman" w:hAnsi="Times New Roman" w:cs="Times New Roman"/>
        </w:rPr>
        <w:t xml:space="preserve">) and 0.06 (95% CrI: 0, 0.28). </w:t>
      </w:r>
      <w:bookmarkEnd w:id="1"/>
      <w:r w:rsidR="00BB2B5C" w:rsidRPr="005C429C">
        <w:rPr>
          <w:rFonts w:ascii="Times New Roman" w:hAnsi="Times New Roman" w:cs="Times New Roman"/>
        </w:rPr>
        <w:t xml:space="preserve">This analysis is based on data extracted from 20 studies </w:t>
      </w:r>
      <w:r w:rsidR="001F45A5" w:rsidRPr="005C429C">
        <w:rPr>
          <w:rFonts w:ascii="Times New Roman" w:hAnsi="Times New Roman" w:cs="Times New Roman"/>
        </w:rPr>
        <w:t xml:space="preserve">(31 treatment contrasts) </w:t>
      </w:r>
      <w:r w:rsidR="00BB2B5C" w:rsidRPr="005C429C">
        <w:rPr>
          <w:rFonts w:ascii="Times New Roman" w:hAnsi="Times New Roman" w:cs="Times New Roman"/>
        </w:rPr>
        <w:t xml:space="preserve">that have collected both treatment effects on </w:t>
      </w:r>
      <w:r w:rsidR="000E15EC" w:rsidRPr="005C429C">
        <w:rPr>
          <w:rFonts w:ascii="Times New Roman" w:hAnsi="Times New Roman" w:cs="Times New Roman"/>
        </w:rPr>
        <w:t>Aβ</w:t>
      </w:r>
      <w:r w:rsidR="00BB2B5C" w:rsidRPr="005C429C">
        <w:rPr>
          <w:rFonts w:ascii="Times New Roman" w:hAnsi="Times New Roman" w:cs="Times New Roman"/>
        </w:rPr>
        <w:t xml:space="preserve"> and ADAS-Cog</w:t>
      </w:r>
      <w:r w:rsidR="00215419" w:rsidRPr="005C429C">
        <w:rPr>
          <w:rFonts w:ascii="Times New Roman" w:hAnsi="Times New Roman" w:cs="Times New Roman"/>
        </w:rPr>
        <w:t xml:space="preserve">. </w:t>
      </w:r>
      <w:r w:rsidR="00BB2B5C" w:rsidRPr="005C429C">
        <w:rPr>
          <w:rFonts w:ascii="Times New Roman" w:hAnsi="Times New Roman" w:cs="Times New Roman"/>
        </w:rPr>
        <w:t>Among the 20 include</w:t>
      </w:r>
      <w:r w:rsidR="00F42E03" w:rsidRPr="005C429C">
        <w:rPr>
          <w:rFonts w:ascii="Times New Roman" w:hAnsi="Times New Roman" w:cs="Times New Roman"/>
        </w:rPr>
        <w:t>d</w:t>
      </w:r>
      <w:r w:rsidR="00BB2B5C" w:rsidRPr="005C429C">
        <w:rPr>
          <w:rFonts w:ascii="Times New Roman" w:hAnsi="Times New Roman" w:cs="Times New Roman"/>
        </w:rPr>
        <w:t xml:space="preserve"> studies, five studies reported ADAS-Cog11, two studies reported ADAS-Cog12, eight studies reported ADAS-Cog13 and five studies reported ADAS-Cog14.</w:t>
      </w:r>
      <w:r w:rsidR="00215419" w:rsidRPr="005C429C">
        <w:rPr>
          <w:rFonts w:ascii="Times New Roman" w:hAnsi="Times New Roman" w:cs="Times New Roman"/>
        </w:rPr>
        <w:t xml:space="preserve"> </w:t>
      </w:r>
      <w:r w:rsidR="00A13436" w:rsidRPr="005C429C">
        <w:rPr>
          <w:rFonts w:ascii="Times New Roman" w:hAnsi="Times New Roman" w:cs="Times New Roman"/>
        </w:rPr>
        <w:t xml:space="preserve">13 studies </w:t>
      </w:r>
      <w:r w:rsidR="001F45A5" w:rsidRPr="005C429C">
        <w:rPr>
          <w:rFonts w:ascii="Times New Roman" w:hAnsi="Times New Roman" w:cs="Times New Roman"/>
        </w:rPr>
        <w:t xml:space="preserve">with 22 contrasts </w:t>
      </w:r>
      <w:r w:rsidR="00A13436" w:rsidRPr="005C429C">
        <w:rPr>
          <w:rFonts w:ascii="Times New Roman" w:hAnsi="Times New Roman" w:cs="Times New Roman"/>
        </w:rPr>
        <w:t xml:space="preserve">reported both treatment effects on </w:t>
      </w:r>
      <w:r w:rsidR="000E15EC" w:rsidRPr="005C429C">
        <w:rPr>
          <w:rFonts w:ascii="Times New Roman" w:hAnsi="Times New Roman" w:cs="Times New Roman"/>
        </w:rPr>
        <w:t>Aβ</w:t>
      </w:r>
      <w:r w:rsidR="00A13436" w:rsidRPr="005C429C">
        <w:rPr>
          <w:rFonts w:ascii="Times New Roman" w:hAnsi="Times New Roman" w:cs="Times New Roman"/>
        </w:rPr>
        <w:t xml:space="preserve"> and MMSE. </w:t>
      </w:r>
      <w:r w:rsidR="00C55F8F" w:rsidRPr="005C429C">
        <w:rPr>
          <w:rFonts w:ascii="Times New Roman" w:hAnsi="Times New Roman" w:cs="Times New Roman"/>
        </w:rPr>
        <w:t xml:space="preserve">The surrogate relationship between treatment effects on </w:t>
      </w:r>
      <w:r w:rsidR="000E15EC" w:rsidRPr="005C429C">
        <w:rPr>
          <w:rFonts w:ascii="Times New Roman" w:hAnsi="Times New Roman" w:cs="Times New Roman"/>
        </w:rPr>
        <w:t>Aβ</w:t>
      </w:r>
      <w:r w:rsidR="00C55F8F" w:rsidRPr="005C429C">
        <w:rPr>
          <w:rFonts w:ascii="Times New Roman" w:hAnsi="Times New Roman" w:cs="Times New Roman"/>
        </w:rPr>
        <w:t xml:space="preserve"> SUVR and MMSE was </w:t>
      </w:r>
      <w:r w:rsidR="00A13436" w:rsidRPr="005C429C">
        <w:rPr>
          <w:rFonts w:ascii="Times New Roman" w:hAnsi="Times New Roman" w:cs="Times New Roman"/>
        </w:rPr>
        <w:t>uncertain</w:t>
      </w:r>
      <w:r w:rsidR="00C55F8F" w:rsidRPr="005C429C">
        <w:rPr>
          <w:rFonts w:ascii="Times New Roman" w:hAnsi="Times New Roman" w:cs="Times New Roman"/>
        </w:rPr>
        <w:t>,</w:t>
      </w:r>
      <w:r w:rsidR="00A13436" w:rsidRPr="005C429C">
        <w:rPr>
          <w:rFonts w:ascii="Times New Roman" w:hAnsi="Times New Roman" w:cs="Times New Roman"/>
        </w:rPr>
        <w:t xml:space="preserve"> with slope -</w:t>
      </w:r>
      <w:r w:rsidR="00AD57B5" w:rsidRPr="005C429C">
        <w:rPr>
          <w:rFonts w:ascii="Times New Roman" w:hAnsi="Times New Roman" w:cs="Times New Roman"/>
        </w:rPr>
        <w:t>1.14</w:t>
      </w:r>
      <w:r w:rsidR="00A13436" w:rsidRPr="005C429C">
        <w:rPr>
          <w:rFonts w:ascii="Times New Roman" w:hAnsi="Times New Roman" w:cs="Times New Roman"/>
        </w:rPr>
        <w:t xml:space="preserve"> (95% CrI: -2.</w:t>
      </w:r>
      <w:r w:rsidR="00AD57B5" w:rsidRPr="005C429C">
        <w:rPr>
          <w:rFonts w:ascii="Times New Roman" w:hAnsi="Times New Roman" w:cs="Times New Roman"/>
        </w:rPr>
        <w:t>84</w:t>
      </w:r>
      <w:r w:rsidR="00A13436" w:rsidRPr="005C429C">
        <w:rPr>
          <w:rFonts w:ascii="Times New Roman" w:hAnsi="Times New Roman" w:cs="Times New Roman"/>
        </w:rPr>
        <w:t>, 0.</w:t>
      </w:r>
      <w:r w:rsidR="00AD57B5" w:rsidRPr="005C429C">
        <w:rPr>
          <w:rFonts w:ascii="Times New Roman" w:hAnsi="Times New Roman" w:cs="Times New Roman"/>
        </w:rPr>
        <w:t>49</w:t>
      </w:r>
      <w:r w:rsidR="00A13436" w:rsidRPr="005C429C">
        <w:rPr>
          <w:rFonts w:ascii="Times New Roman" w:hAnsi="Times New Roman" w:cs="Times New Roman"/>
        </w:rPr>
        <w:t>) and conditional variance 0.06 (95% CrI: 0, 0.2</w:t>
      </w:r>
      <w:r w:rsidR="00AD57B5" w:rsidRPr="005C429C">
        <w:rPr>
          <w:rFonts w:ascii="Times New Roman" w:hAnsi="Times New Roman" w:cs="Times New Roman"/>
        </w:rPr>
        <w:t>3</w:t>
      </w:r>
      <w:r w:rsidR="00A13436" w:rsidRPr="005C429C">
        <w:rPr>
          <w:rFonts w:ascii="Times New Roman" w:hAnsi="Times New Roman" w:cs="Times New Roman"/>
        </w:rPr>
        <w:t>).</w:t>
      </w:r>
      <w:r w:rsidR="00215419" w:rsidRPr="005C429C">
        <w:rPr>
          <w:rFonts w:ascii="Times New Roman" w:hAnsi="Times New Roman" w:cs="Times New Roman"/>
        </w:rPr>
        <w:t xml:space="preserve"> The bubble plot and regression line are presented in </w:t>
      </w:r>
      <w:r w:rsidR="00BC3A1A" w:rsidRPr="005C429C">
        <w:rPr>
          <w:rFonts w:ascii="Times New Roman" w:hAnsi="Times New Roman" w:cs="Times New Roman"/>
        </w:rPr>
        <w:t>Figure S</w:t>
      </w:r>
      <w:r w:rsidR="00023DAC" w:rsidRPr="005C429C">
        <w:rPr>
          <w:rFonts w:ascii="Times New Roman" w:hAnsi="Times New Roman" w:cs="Times New Roman"/>
        </w:rPr>
        <w:t>2</w:t>
      </w:r>
      <w:r w:rsidR="00215419" w:rsidRPr="005C429C">
        <w:rPr>
          <w:rFonts w:ascii="Times New Roman" w:hAnsi="Times New Roman" w:cs="Times New Roman"/>
        </w:rPr>
        <w:t xml:space="preserve"> and </w:t>
      </w:r>
      <w:r w:rsidR="00BC3A1A" w:rsidRPr="005C429C">
        <w:rPr>
          <w:rFonts w:ascii="Times New Roman" w:hAnsi="Times New Roman" w:cs="Times New Roman"/>
        </w:rPr>
        <w:t>Figure S</w:t>
      </w:r>
      <w:r w:rsidR="00023DAC" w:rsidRPr="005C429C">
        <w:rPr>
          <w:rFonts w:ascii="Times New Roman" w:hAnsi="Times New Roman" w:cs="Times New Roman"/>
        </w:rPr>
        <w:t>3</w:t>
      </w:r>
      <w:r w:rsidR="00215419" w:rsidRPr="005C429C">
        <w:rPr>
          <w:rFonts w:ascii="Times New Roman" w:hAnsi="Times New Roman" w:cs="Times New Roman"/>
        </w:rPr>
        <w:t xml:space="preserve"> respectively.</w:t>
      </w:r>
    </w:p>
    <w:p w14:paraId="1B0CFD93" w14:textId="04E9C21F" w:rsidR="00B04945" w:rsidRPr="005C429C" w:rsidRDefault="00A13436" w:rsidP="00DB55E9">
      <w:pPr>
        <w:jc w:val="both"/>
        <w:rPr>
          <w:rFonts w:ascii="Times New Roman" w:hAnsi="Times New Roman" w:cs="Times New Roman"/>
        </w:rPr>
      </w:pPr>
      <w:r w:rsidRPr="005C429C">
        <w:rPr>
          <w:rFonts w:ascii="Times New Roman" w:hAnsi="Times New Roman" w:cs="Times New Roman"/>
        </w:rPr>
        <w:lastRenderedPageBreak/>
        <w:t xml:space="preserve">When the treatment effects </w:t>
      </w:r>
      <w:r w:rsidR="000E15EC" w:rsidRPr="005C429C">
        <w:rPr>
          <w:rFonts w:ascii="Times New Roman" w:hAnsi="Times New Roman" w:cs="Times New Roman"/>
        </w:rPr>
        <w:t>wer</w:t>
      </w:r>
      <w:r w:rsidRPr="005C429C">
        <w:rPr>
          <w:rFonts w:ascii="Times New Roman" w:hAnsi="Times New Roman" w:cs="Times New Roman"/>
        </w:rPr>
        <w:t>e reported at the same time, t</w:t>
      </w:r>
      <w:r w:rsidR="002C4223" w:rsidRPr="005C429C">
        <w:rPr>
          <w:rFonts w:ascii="Times New Roman" w:hAnsi="Times New Roman" w:cs="Times New Roman"/>
        </w:rPr>
        <w:t xml:space="preserve">he surrogate relationship between </w:t>
      </w:r>
      <w:r w:rsidR="0049794E" w:rsidRPr="005C429C">
        <w:rPr>
          <w:rFonts w:ascii="Times New Roman" w:hAnsi="Times New Roman" w:cs="Times New Roman"/>
        </w:rPr>
        <w:t xml:space="preserve">Aβ </w:t>
      </w:r>
      <w:r w:rsidR="002C4223" w:rsidRPr="005C429C">
        <w:rPr>
          <w:rFonts w:ascii="Times New Roman" w:hAnsi="Times New Roman" w:cs="Times New Roman"/>
        </w:rPr>
        <w:t>SUVR and CDR-</w:t>
      </w:r>
      <w:r w:rsidRPr="005C429C">
        <w:rPr>
          <w:rFonts w:ascii="Times New Roman" w:hAnsi="Times New Roman" w:cs="Times New Roman"/>
        </w:rPr>
        <w:t>SOB was</w:t>
      </w:r>
      <w:r w:rsidR="002C4223" w:rsidRPr="005C429C">
        <w:rPr>
          <w:rFonts w:ascii="Times New Roman" w:hAnsi="Times New Roman" w:cs="Times New Roman"/>
        </w:rPr>
        <w:t xml:space="preserve"> </w:t>
      </w:r>
      <w:r w:rsidRPr="005C429C">
        <w:rPr>
          <w:rFonts w:ascii="Times New Roman" w:hAnsi="Times New Roman" w:cs="Times New Roman"/>
        </w:rPr>
        <w:t xml:space="preserve">also </w:t>
      </w:r>
      <w:r w:rsidR="002C4223" w:rsidRPr="005C429C">
        <w:rPr>
          <w:rFonts w:ascii="Times New Roman" w:hAnsi="Times New Roman" w:cs="Times New Roman"/>
        </w:rPr>
        <w:t>strong, with slope 0.</w:t>
      </w:r>
      <w:r w:rsidR="00AD57B5" w:rsidRPr="005C429C">
        <w:rPr>
          <w:rFonts w:ascii="Times New Roman" w:hAnsi="Times New Roman" w:cs="Times New Roman"/>
        </w:rPr>
        <w:t>93</w:t>
      </w:r>
      <w:r w:rsidR="002C4223" w:rsidRPr="005C429C">
        <w:rPr>
          <w:rFonts w:ascii="Times New Roman" w:hAnsi="Times New Roman" w:cs="Times New Roman"/>
        </w:rPr>
        <w:t xml:space="preserve"> (95% CrI: 0.4, 1.4</w:t>
      </w:r>
      <w:r w:rsidR="00AD57B5" w:rsidRPr="005C429C">
        <w:rPr>
          <w:rFonts w:ascii="Times New Roman" w:hAnsi="Times New Roman" w:cs="Times New Roman"/>
        </w:rPr>
        <w:t>7</w:t>
      </w:r>
      <w:r w:rsidR="002C4223" w:rsidRPr="005C429C">
        <w:rPr>
          <w:rFonts w:ascii="Times New Roman" w:hAnsi="Times New Roman" w:cs="Times New Roman"/>
        </w:rPr>
        <w:t>) and conditional variance 0.02 (95% CrI: 0, 0.0</w:t>
      </w:r>
      <w:r w:rsidR="00AD57B5" w:rsidRPr="005C429C">
        <w:rPr>
          <w:rFonts w:ascii="Times New Roman" w:hAnsi="Times New Roman" w:cs="Times New Roman"/>
        </w:rPr>
        <w:t>5</w:t>
      </w:r>
      <w:r w:rsidR="002C4223" w:rsidRPr="005C429C">
        <w:rPr>
          <w:rFonts w:ascii="Times New Roman" w:hAnsi="Times New Roman" w:cs="Times New Roman"/>
        </w:rPr>
        <w:t>).</w:t>
      </w:r>
      <w:r w:rsidR="00C55F8F" w:rsidRPr="005C429C">
        <w:rPr>
          <w:rFonts w:ascii="Times New Roman" w:hAnsi="Times New Roman" w:cs="Times New Roman"/>
        </w:rPr>
        <w:t xml:space="preserve"> The bubble plot and regression line are presented in </w:t>
      </w:r>
      <w:r w:rsidR="00BC3A1A" w:rsidRPr="005C429C">
        <w:rPr>
          <w:rFonts w:ascii="Times New Roman" w:hAnsi="Times New Roman" w:cs="Times New Roman"/>
        </w:rPr>
        <w:t>Figure S</w:t>
      </w:r>
      <w:r w:rsidR="00023DAC" w:rsidRPr="005C429C">
        <w:rPr>
          <w:rFonts w:ascii="Times New Roman" w:hAnsi="Times New Roman" w:cs="Times New Roman"/>
        </w:rPr>
        <w:t>4</w:t>
      </w:r>
      <w:r w:rsidR="00C55F8F" w:rsidRPr="005C429C">
        <w:rPr>
          <w:rFonts w:ascii="Times New Roman" w:hAnsi="Times New Roman" w:cs="Times New Roman"/>
        </w:rPr>
        <w:t xml:space="preserve">. </w:t>
      </w:r>
      <w:r w:rsidR="000E15EC" w:rsidRPr="005C429C">
        <w:rPr>
          <w:rFonts w:ascii="Times New Roman" w:hAnsi="Times New Roman" w:cs="Times New Roman"/>
        </w:rPr>
        <w:t>In some trials, Aβ</w:t>
      </w:r>
      <w:r w:rsidR="00B04945" w:rsidRPr="005C429C">
        <w:rPr>
          <w:rFonts w:ascii="Times New Roman" w:hAnsi="Times New Roman" w:cs="Times New Roman"/>
        </w:rPr>
        <w:t xml:space="preserve"> </w:t>
      </w:r>
      <w:r w:rsidR="000E15EC" w:rsidRPr="005C429C">
        <w:rPr>
          <w:rFonts w:ascii="Times New Roman" w:hAnsi="Times New Roman" w:cs="Times New Roman"/>
        </w:rPr>
        <w:t>levels were</w:t>
      </w:r>
      <w:r w:rsidR="00B04945" w:rsidRPr="005C429C">
        <w:rPr>
          <w:rFonts w:ascii="Times New Roman" w:hAnsi="Times New Roman" w:cs="Times New Roman"/>
        </w:rPr>
        <w:t xml:space="preserve"> measured on a centiloid scale instead</w:t>
      </w:r>
      <w:r w:rsidR="000E15EC" w:rsidRPr="005C429C">
        <w:rPr>
          <w:rFonts w:ascii="Times New Roman" w:hAnsi="Times New Roman" w:cs="Times New Roman"/>
        </w:rPr>
        <w:t xml:space="preserve"> of</w:t>
      </w:r>
      <w:r w:rsidR="00B04945" w:rsidRPr="005C429C">
        <w:rPr>
          <w:rFonts w:ascii="Times New Roman" w:hAnsi="Times New Roman" w:cs="Times New Roman"/>
        </w:rPr>
        <w:t xml:space="preserve"> the SUVR scale. </w:t>
      </w:r>
      <w:r w:rsidR="000E15EC" w:rsidRPr="005C429C">
        <w:rPr>
          <w:rFonts w:ascii="Times New Roman" w:hAnsi="Times New Roman" w:cs="Times New Roman"/>
        </w:rPr>
        <w:t>The</w:t>
      </w:r>
      <w:r w:rsidR="00823F6E" w:rsidRPr="005C429C">
        <w:rPr>
          <w:rFonts w:ascii="Times New Roman" w:hAnsi="Times New Roman" w:cs="Times New Roman"/>
        </w:rPr>
        <w:t xml:space="preserve"> surrogate relationship </w:t>
      </w:r>
      <w:r w:rsidR="000E15EC" w:rsidRPr="005C429C">
        <w:rPr>
          <w:rFonts w:ascii="Times New Roman" w:hAnsi="Times New Roman" w:cs="Times New Roman"/>
        </w:rPr>
        <w:t xml:space="preserve">between </w:t>
      </w:r>
      <w:r w:rsidR="00823F6E" w:rsidRPr="005C429C">
        <w:rPr>
          <w:rFonts w:ascii="Times New Roman" w:hAnsi="Times New Roman" w:cs="Times New Roman"/>
        </w:rPr>
        <w:t xml:space="preserve">treatment effects on </w:t>
      </w:r>
      <w:r w:rsidR="000E15EC" w:rsidRPr="005C429C">
        <w:rPr>
          <w:rFonts w:ascii="Times New Roman" w:hAnsi="Times New Roman" w:cs="Times New Roman"/>
        </w:rPr>
        <w:t>Aβ</w:t>
      </w:r>
      <w:r w:rsidR="00823F6E" w:rsidRPr="005C429C">
        <w:rPr>
          <w:rFonts w:ascii="Times New Roman" w:hAnsi="Times New Roman" w:cs="Times New Roman"/>
        </w:rPr>
        <w:t xml:space="preserve"> using centiloid measure and CDR-SOB was found to be </w:t>
      </w:r>
      <w:r w:rsidR="00215521" w:rsidRPr="005C429C">
        <w:rPr>
          <w:rFonts w:ascii="Times New Roman" w:hAnsi="Times New Roman" w:cs="Times New Roman"/>
        </w:rPr>
        <w:t>strong</w:t>
      </w:r>
      <w:r w:rsidR="00823F6E" w:rsidRPr="005C429C">
        <w:rPr>
          <w:rFonts w:ascii="Times New Roman" w:hAnsi="Times New Roman" w:cs="Times New Roman"/>
        </w:rPr>
        <w:t>, with slope 0.01 (95% CrI: 0, 0.01) and conditional variance 0.02 (95% CrI: 0, 0.05)</w:t>
      </w:r>
      <w:r w:rsidR="006E0066" w:rsidRPr="005C429C">
        <w:rPr>
          <w:rFonts w:ascii="Times New Roman" w:hAnsi="Times New Roman" w:cs="Times New Roman"/>
        </w:rPr>
        <w:t xml:space="preserve">. </w:t>
      </w:r>
      <w:r w:rsidR="00AD57B5" w:rsidRPr="005C429C">
        <w:rPr>
          <w:rFonts w:ascii="Times New Roman" w:hAnsi="Times New Roman" w:cs="Times New Roman"/>
        </w:rPr>
        <w:t xml:space="preserve">The bubble plot and regression line are presented in </w:t>
      </w:r>
      <w:r w:rsidR="00BC3A1A" w:rsidRPr="005C429C">
        <w:rPr>
          <w:rFonts w:ascii="Times New Roman" w:hAnsi="Times New Roman" w:cs="Times New Roman"/>
        </w:rPr>
        <w:t>Figure S</w:t>
      </w:r>
      <w:r w:rsidR="00FE369C" w:rsidRPr="005C429C">
        <w:rPr>
          <w:rFonts w:ascii="Times New Roman" w:hAnsi="Times New Roman" w:cs="Times New Roman"/>
        </w:rPr>
        <w:t>5</w:t>
      </w:r>
      <w:r w:rsidR="00AD57B5" w:rsidRPr="005C429C">
        <w:rPr>
          <w:rFonts w:ascii="Times New Roman" w:hAnsi="Times New Roman" w:cs="Times New Roman"/>
        </w:rPr>
        <w:t>.</w:t>
      </w:r>
      <w:r w:rsidR="000E15EC" w:rsidRPr="005C429C">
        <w:rPr>
          <w:rFonts w:ascii="Times New Roman" w:hAnsi="Times New Roman" w:cs="Times New Roman"/>
        </w:rPr>
        <w:t xml:space="preserve"> S</w:t>
      </w:r>
      <w:r w:rsidR="00215521" w:rsidRPr="005C429C">
        <w:rPr>
          <w:rFonts w:ascii="Times New Roman" w:hAnsi="Times New Roman" w:cs="Times New Roman"/>
        </w:rPr>
        <w:t>ix studies</w:t>
      </w:r>
      <w:r w:rsidR="000E15EC" w:rsidRPr="005C429C">
        <w:rPr>
          <w:rFonts w:ascii="Times New Roman" w:hAnsi="Times New Roman" w:cs="Times New Roman"/>
        </w:rPr>
        <w:t xml:space="preserve"> were identified with</w:t>
      </w:r>
      <w:r w:rsidR="00215521" w:rsidRPr="005C429C">
        <w:rPr>
          <w:rFonts w:ascii="Times New Roman" w:hAnsi="Times New Roman" w:cs="Times New Roman"/>
        </w:rPr>
        <w:t xml:space="preserve"> both treatment effects on </w:t>
      </w:r>
      <w:r w:rsidR="000E15EC" w:rsidRPr="005C429C">
        <w:rPr>
          <w:rFonts w:ascii="Times New Roman" w:hAnsi="Times New Roman" w:cs="Times New Roman"/>
        </w:rPr>
        <w:t>Aβ</w:t>
      </w:r>
      <w:r w:rsidR="00215521" w:rsidRPr="005C429C">
        <w:rPr>
          <w:rFonts w:ascii="Times New Roman" w:hAnsi="Times New Roman" w:cs="Times New Roman"/>
        </w:rPr>
        <w:t xml:space="preserve"> centiloids and CDR-SOB </w:t>
      </w:r>
      <w:r w:rsidR="000E15EC" w:rsidRPr="005C429C">
        <w:rPr>
          <w:rFonts w:ascii="Times New Roman" w:hAnsi="Times New Roman" w:cs="Times New Roman"/>
        </w:rPr>
        <w:t>reported</w:t>
      </w:r>
      <w:r w:rsidR="00215521" w:rsidRPr="005C429C">
        <w:rPr>
          <w:rFonts w:ascii="Times New Roman" w:hAnsi="Times New Roman" w:cs="Times New Roman"/>
        </w:rPr>
        <w:t xml:space="preserve">. Despite the limited number of studies included, the surrogate relationship across the six included studies was found to be moderate with slope 0.01 (95% CrI: 0, 0.02) and conditional variance 0.05 (95% CrI: 0, 0.35). The bubble plot and regression line are presented in </w:t>
      </w:r>
      <w:r w:rsidR="00BC3A1A" w:rsidRPr="005C429C">
        <w:rPr>
          <w:rFonts w:ascii="Times New Roman" w:hAnsi="Times New Roman" w:cs="Times New Roman"/>
        </w:rPr>
        <w:t>Figure S</w:t>
      </w:r>
      <w:r w:rsidR="00215521" w:rsidRPr="005C429C">
        <w:rPr>
          <w:rFonts w:ascii="Times New Roman" w:hAnsi="Times New Roman" w:cs="Times New Roman"/>
        </w:rPr>
        <w:t>6.</w:t>
      </w:r>
    </w:p>
    <w:p w14:paraId="236D23E4" w14:textId="7E36419A" w:rsidR="009075A0" w:rsidRPr="005C429C" w:rsidRDefault="009075A0" w:rsidP="00DB55E9">
      <w:pPr>
        <w:pStyle w:val="NormalWeb"/>
        <w:jc w:val="both"/>
      </w:pPr>
      <w:r w:rsidRPr="005C429C">
        <w:rPr>
          <w:noProof/>
        </w:rPr>
        <w:drawing>
          <wp:inline distT="0" distB="0" distL="0" distR="0" wp14:anchorId="63D953B5" wp14:editId="58468B7B">
            <wp:extent cx="5400000" cy="3798203"/>
            <wp:effectExtent l="0" t="0" r="0" b="0"/>
            <wp:docPr id="35286646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t="1" r="15482" b="-1913"/>
                    <a:stretch/>
                  </pic:blipFill>
                  <pic:spPr bwMode="auto">
                    <a:xfrm>
                      <a:off x="0" y="0"/>
                      <a:ext cx="5400000" cy="3798203"/>
                    </a:xfrm>
                    <a:prstGeom prst="rect">
                      <a:avLst/>
                    </a:prstGeom>
                    <a:noFill/>
                    <a:ln>
                      <a:noFill/>
                    </a:ln>
                    <a:extLst>
                      <a:ext uri="{53640926-AAD7-44D8-BBD7-CCE9431645EC}">
                        <a14:shadowObscured xmlns:a14="http://schemas.microsoft.com/office/drawing/2010/main"/>
                      </a:ext>
                    </a:extLst>
                  </pic:spPr>
                </pic:pic>
              </a:graphicData>
            </a:graphic>
          </wp:inline>
        </w:drawing>
      </w:r>
    </w:p>
    <w:p w14:paraId="2168E328" w14:textId="33A2334E" w:rsidR="00215419" w:rsidRPr="005C429C" w:rsidRDefault="00BC3A1A" w:rsidP="00DB55E9">
      <w:pPr>
        <w:jc w:val="both"/>
        <w:rPr>
          <w:rFonts w:ascii="Times New Roman" w:hAnsi="Times New Roman" w:cs="Times New Roman"/>
        </w:rPr>
      </w:pPr>
      <w:r w:rsidRPr="005C429C">
        <w:rPr>
          <w:rFonts w:ascii="Times New Roman" w:hAnsi="Times New Roman" w:cs="Times New Roman"/>
        </w:rPr>
        <w:t>Figure S</w:t>
      </w:r>
      <w:r w:rsidR="00023DAC" w:rsidRPr="005C429C">
        <w:rPr>
          <w:rFonts w:ascii="Times New Roman" w:hAnsi="Times New Roman" w:cs="Times New Roman"/>
        </w:rPr>
        <w:t>2</w:t>
      </w:r>
      <w:r w:rsidR="00215419" w:rsidRPr="005C429C">
        <w:rPr>
          <w:rFonts w:ascii="Times New Roman" w:hAnsi="Times New Roman" w:cs="Times New Roman"/>
        </w:rPr>
        <w:t xml:space="preserve">. Bubble plot of the surrogate relationship between treatment effects on </w:t>
      </w:r>
      <w:r w:rsidR="000E15EC" w:rsidRPr="005C429C">
        <w:rPr>
          <w:rFonts w:ascii="Times New Roman" w:hAnsi="Times New Roman" w:cs="Times New Roman"/>
        </w:rPr>
        <w:t>Aβ</w:t>
      </w:r>
      <w:r w:rsidR="005339FE" w:rsidRPr="005C429C">
        <w:rPr>
          <w:rFonts w:ascii="Times New Roman" w:hAnsi="Times New Roman" w:cs="Times New Roman"/>
        </w:rPr>
        <w:t xml:space="preserve"> standardised uptake value ratio (SUVR)</w:t>
      </w:r>
      <w:r w:rsidR="00215419" w:rsidRPr="005C429C">
        <w:rPr>
          <w:rFonts w:ascii="Times New Roman" w:hAnsi="Times New Roman" w:cs="Times New Roman"/>
        </w:rPr>
        <w:t xml:space="preserve"> and</w:t>
      </w:r>
      <w:r w:rsidR="005339FE" w:rsidRPr="005C429C">
        <w:rPr>
          <w:rFonts w:ascii="Times New Roman" w:hAnsi="Times New Roman" w:cs="Times New Roman"/>
        </w:rPr>
        <w:t xml:space="preserve"> Alzheimer’s Disease Assessment Scale--Cognitive Subscale (ADAS-Cog)</w:t>
      </w:r>
      <w:r w:rsidR="00215419" w:rsidRPr="005C429C">
        <w:rPr>
          <w:rFonts w:ascii="Times New Roman" w:hAnsi="Times New Roman" w:cs="Times New Roman"/>
        </w:rPr>
        <w:t xml:space="preserve"> with treatment effects on </w:t>
      </w:r>
      <w:r w:rsidR="000E15EC" w:rsidRPr="005C429C">
        <w:rPr>
          <w:rFonts w:ascii="Times New Roman" w:hAnsi="Times New Roman" w:cs="Times New Roman"/>
        </w:rPr>
        <w:t>Aβ</w:t>
      </w:r>
      <w:r w:rsidR="00215419" w:rsidRPr="005C429C">
        <w:rPr>
          <w:rFonts w:ascii="Times New Roman" w:hAnsi="Times New Roman" w:cs="Times New Roman"/>
        </w:rPr>
        <w:t xml:space="preserve"> reported at earlier time points. The mean (95% credible intervals) of intercept, slope and conditional variance were obtained from Daniels and Hughes model. The bubble size corresponds to the number of patients with measured cognitive functions.</w:t>
      </w:r>
    </w:p>
    <w:p w14:paraId="7D62E216" w14:textId="427927A1" w:rsidR="003B0AA3" w:rsidRPr="005C429C" w:rsidRDefault="009075A0" w:rsidP="00DB55E9">
      <w:pPr>
        <w:pStyle w:val="NormalWeb"/>
        <w:jc w:val="both"/>
      </w:pPr>
      <w:r w:rsidRPr="005C429C">
        <w:rPr>
          <w:noProof/>
        </w:rPr>
        <w:lastRenderedPageBreak/>
        <w:drawing>
          <wp:inline distT="0" distB="0" distL="0" distR="0" wp14:anchorId="59B6CC2B" wp14:editId="517ADEB1">
            <wp:extent cx="5400000" cy="3710235"/>
            <wp:effectExtent l="0" t="0" r="0" b="5080"/>
            <wp:docPr id="174914175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r="15102"/>
                    <a:stretch/>
                  </pic:blipFill>
                  <pic:spPr bwMode="auto">
                    <a:xfrm>
                      <a:off x="0" y="0"/>
                      <a:ext cx="5400000" cy="3710235"/>
                    </a:xfrm>
                    <a:prstGeom prst="rect">
                      <a:avLst/>
                    </a:prstGeom>
                    <a:noFill/>
                    <a:ln>
                      <a:noFill/>
                    </a:ln>
                    <a:extLst>
                      <a:ext uri="{53640926-AAD7-44D8-BBD7-CCE9431645EC}">
                        <a14:shadowObscured xmlns:a14="http://schemas.microsoft.com/office/drawing/2010/main"/>
                      </a:ext>
                    </a:extLst>
                  </pic:spPr>
                </pic:pic>
              </a:graphicData>
            </a:graphic>
          </wp:inline>
        </w:drawing>
      </w:r>
    </w:p>
    <w:p w14:paraId="3E5F65E9" w14:textId="6BD17BAB" w:rsidR="003B0AA3" w:rsidRPr="005C429C" w:rsidRDefault="00BC3A1A" w:rsidP="00DB55E9">
      <w:pPr>
        <w:jc w:val="both"/>
        <w:rPr>
          <w:rFonts w:ascii="Times New Roman" w:hAnsi="Times New Roman" w:cs="Times New Roman"/>
        </w:rPr>
      </w:pPr>
      <w:r w:rsidRPr="005C429C">
        <w:rPr>
          <w:rFonts w:ascii="Times New Roman" w:hAnsi="Times New Roman" w:cs="Times New Roman"/>
        </w:rPr>
        <w:t>Figure S</w:t>
      </w:r>
      <w:r w:rsidR="00023DAC" w:rsidRPr="005C429C">
        <w:rPr>
          <w:rFonts w:ascii="Times New Roman" w:hAnsi="Times New Roman" w:cs="Times New Roman"/>
        </w:rPr>
        <w:t>3</w:t>
      </w:r>
      <w:r w:rsidR="003B0AA3" w:rsidRPr="005C429C">
        <w:rPr>
          <w:rFonts w:ascii="Times New Roman" w:hAnsi="Times New Roman" w:cs="Times New Roman"/>
        </w:rPr>
        <w:t xml:space="preserve">. Bubble plot of the surrogate relationship between treatment effects on </w:t>
      </w:r>
      <w:r w:rsidR="000E15EC" w:rsidRPr="005C429C">
        <w:rPr>
          <w:rFonts w:ascii="Times New Roman" w:hAnsi="Times New Roman" w:cs="Times New Roman"/>
        </w:rPr>
        <w:t>Aβ</w:t>
      </w:r>
      <w:r w:rsidR="005339FE" w:rsidRPr="005C429C">
        <w:rPr>
          <w:rFonts w:ascii="Times New Roman" w:hAnsi="Times New Roman" w:cs="Times New Roman"/>
        </w:rPr>
        <w:t xml:space="preserve"> standardised uptake value ratio (SUVR) and Mini Mental State Examination (MMSE)</w:t>
      </w:r>
      <w:r w:rsidR="003B0AA3" w:rsidRPr="005C429C">
        <w:rPr>
          <w:rFonts w:ascii="Times New Roman" w:hAnsi="Times New Roman" w:cs="Times New Roman"/>
        </w:rPr>
        <w:t xml:space="preserve"> with treatment effects on </w:t>
      </w:r>
      <w:r w:rsidR="000E15EC" w:rsidRPr="005C429C">
        <w:rPr>
          <w:rFonts w:ascii="Times New Roman" w:hAnsi="Times New Roman" w:cs="Times New Roman"/>
        </w:rPr>
        <w:t>Aβ</w:t>
      </w:r>
      <w:r w:rsidR="003B0AA3" w:rsidRPr="005C429C">
        <w:rPr>
          <w:rFonts w:ascii="Times New Roman" w:hAnsi="Times New Roman" w:cs="Times New Roman"/>
        </w:rPr>
        <w:t xml:space="preserve"> reported at earlier time points. The mean (95% credible intervals) of intercept, slope and conditional variance were obtained from Daniels and Hughes model. The bubble size corresponds to the number of patients with measured cognitive functions.</w:t>
      </w:r>
    </w:p>
    <w:p w14:paraId="38982DA7" w14:textId="57587379" w:rsidR="009075A0" w:rsidRPr="005C429C" w:rsidRDefault="009075A0" w:rsidP="00DB55E9">
      <w:pPr>
        <w:pStyle w:val="NormalWeb"/>
        <w:jc w:val="both"/>
      </w:pPr>
      <w:r w:rsidRPr="005C429C">
        <w:rPr>
          <w:noProof/>
        </w:rPr>
        <w:drawing>
          <wp:inline distT="0" distB="0" distL="0" distR="0" wp14:anchorId="23596C30" wp14:editId="50E079AA">
            <wp:extent cx="5400000" cy="3726910"/>
            <wp:effectExtent l="0" t="0" r="0" b="6985"/>
            <wp:docPr id="64208110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r="15482"/>
                    <a:stretch/>
                  </pic:blipFill>
                  <pic:spPr bwMode="auto">
                    <a:xfrm>
                      <a:off x="0" y="0"/>
                      <a:ext cx="5400000" cy="3726910"/>
                    </a:xfrm>
                    <a:prstGeom prst="rect">
                      <a:avLst/>
                    </a:prstGeom>
                    <a:noFill/>
                    <a:ln>
                      <a:noFill/>
                    </a:ln>
                    <a:extLst>
                      <a:ext uri="{53640926-AAD7-44D8-BBD7-CCE9431645EC}">
                        <a14:shadowObscured xmlns:a14="http://schemas.microsoft.com/office/drawing/2010/main"/>
                      </a:ext>
                    </a:extLst>
                  </pic:spPr>
                </pic:pic>
              </a:graphicData>
            </a:graphic>
          </wp:inline>
        </w:drawing>
      </w:r>
    </w:p>
    <w:p w14:paraId="57FCFBD5" w14:textId="44FF595E" w:rsidR="001D0BFA" w:rsidRPr="005C429C" w:rsidRDefault="00BC3A1A" w:rsidP="00DB55E9">
      <w:pPr>
        <w:jc w:val="both"/>
        <w:rPr>
          <w:rFonts w:ascii="Times New Roman" w:hAnsi="Times New Roman" w:cs="Times New Roman"/>
        </w:rPr>
      </w:pPr>
      <w:r w:rsidRPr="005C429C">
        <w:rPr>
          <w:rFonts w:ascii="Times New Roman" w:hAnsi="Times New Roman" w:cs="Times New Roman"/>
        </w:rPr>
        <w:lastRenderedPageBreak/>
        <w:t>Figure S</w:t>
      </w:r>
      <w:r w:rsidR="00023DAC" w:rsidRPr="005C429C">
        <w:rPr>
          <w:rFonts w:ascii="Times New Roman" w:hAnsi="Times New Roman" w:cs="Times New Roman"/>
        </w:rPr>
        <w:t>4</w:t>
      </w:r>
      <w:r w:rsidR="001D0BFA" w:rsidRPr="005C429C">
        <w:rPr>
          <w:rFonts w:ascii="Times New Roman" w:hAnsi="Times New Roman" w:cs="Times New Roman"/>
        </w:rPr>
        <w:t>. Bubble plot of the overall surrogate relationships with treatment effects on</w:t>
      </w:r>
      <w:r w:rsidR="003D2C5F" w:rsidRPr="005C429C">
        <w:rPr>
          <w:rFonts w:ascii="Times New Roman" w:hAnsi="Times New Roman" w:cs="Times New Roman"/>
        </w:rPr>
        <w:t xml:space="preserve"> </w:t>
      </w:r>
      <w:r w:rsidR="000E15EC" w:rsidRPr="005C429C">
        <w:rPr>
          <w:rFonts w:ascii="Times New Roman" w:hAnsi="Times New Roman" w:cs="Times New Roman"/>
        </w:rPr>
        <w:t>Aβ</w:t>
      </w:r>
      <w:r w:rsidR="001D0BFA" w:rsidRPr="005C429C">
        <w:rPr>
          <w:rFonts w:ascii="Times New Roman" w:hAnsi="Times New Roman" w:cs="Times New Roman"/>
        </w:rPr>
        <w:t xml:space="preserve"> </w:t>
      </w:r>
      <w:r w:rsidR="005339FE" w:rsidRPr="005C429C">
        <w:rPr>
          <w:rFonts w:ascii="Times New Roman" w:hAnsi="Times New Roman" w:cs="Times New Roman"/>
        </w:rPr>
        <w:t>standardised uptake value ratio (SUVR)</w:t>
      </w:r>
      <w:r w:rsidR="001D0BFA" w:rsidRPr="005C429C">
        <w:rPr>
          <w:rFonts w:ascii="Times New Roman" w:hAnsi="Times New Roman" w:cs="Times New Roman"/>
        </w:rPr>
        <w:t xml:space="preserve"> and </w:t>
      </w:r>
      <w:r w:rsidR="005339FE" w:rsidRPr="005C429C">
        <w:rPr>
          <w:rFonts w:ascii="Times New Roman" w:hAnsi="Times New Roman" w:cs="Times New Roman"/>
        </w:rPr>
        <w:t xml:space="preserve">Clinical Dementia Rating – Sum of Boxes (CDR-SOB) </w:t>
      </w:r>
      <w:r w:rsidR="001D0BFA" w:rsidRPr="005C429C">
        <w:rPr>
          <w:rFonts w:ascii="Times New Roman" w:hAnsi="Times New Roman" w:cs="Times New Roman"/>
        </w:rPr>
        <w:t>reported at the same time. The mean (95% credible intervals) of intercept, slope and conditional variance were obtained from Daniels and Hughes model. The bubble size corresponds to the number of patients with measured cognitive functions.</w:t>
      </w:r>
    </w:p>
    <w:p w14:paraId="0FD7A87F" w14:textId="33CA9642" w:rsidR="00236786" w:rsidRPr="005C429C" w:rsidRDefault="005534A7" w:rsidP="00DB55E9">
      <w:pPr>
        <w:pStyle w:val="NormalWeb"/>
        <w:jc w:val="both"/>
      </w:pPr>
      <w:r w:rsidRPr="005C429C">
        <w:rPr>
          <w:noProof/>
        </w:rPr>
        <w:drawing>
          <wp:inline distT="0" distB="0" distL="0" distR="0" wp14:anchorId="75D0699F" wp14:editId="7237F666">
            <wp:extent cx="5400000" cy="3877852"/>
            <wp:effectExtent l="0" t="0" r="0" b="0"/>
            <wp:docPr id="264237098"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r="15102" b="-4517"/>
                    <a:stretch/>
                  </pic:blipFill>
                  <pic:spPr bwMode="auto">
                    <a:xfrm>
                      <a:off x="0" y="0"/>
                      <a:ext cx="5400000" cy="3877852"/>
                    </a:xfrm>
                    <a:prstGeom prst="rect">
                      <a:avLst/>
                    </a:prstGeom>
                    <a:noFill/>
                    <a:ln>
                      <a:noFill/>
                    </a:ln>
                    <a:extLst>
                      <a:ext uri="{53640926-AAD7-44D8-BBD7-CCE9431645EC}">
                        <a14:shadowObscured xmlns:a14="http://schemas.microsoft.com/office/drawing/2010/main"/>
                      </a:ext>
                    </a:extLst>
                  </pic:spPr>
                </pic:pic>
              </a:graphicData>
            </a:graphic>
          </wp:inline>
        </w:drawing>
      </w:r>
    </w:p>
    <w:p w14:paraId="2B4BA3CD" w14:textId="0E50B0EF" w:rsidR="00236786" w:rsidRPr="005C429C" w:rsidRDefault="00BC3A1A" w:rsidP="00DB55E9">
      <w:pPr>
        <w:jc w:val="both"/>
        <w:rPr>
          <w:rFonts w:ascii="Times New Roman" w:hAnsi="Times New Roman" w:cs="Times New Roman"/>
        </w:rPr>
      </w:pPr>
      <w:r w:rsidRPr="005C429C">
        <w:rPr>
          <w:rFonts w:ascii="Times New Roman" w:hAnsi="Times New Roman" w:cs="Times New Roman"/>
        </w:rPr>
        <w:t>Figure S</w:t>
      </w:r>
      <w:r w:rsidR="00FE369C" w:rsidRPr="005C429C">
        <w:rPr>
          <w:rFonts w:ascii="Times New Roman" w:hAnsi="Times New Roman" w:cs="Times New Roman"/>
        </w:rPr>
        <w:t>5</w:t>
      </w:r>
      <w:r w:rsidR="00236786" w:rsidRPr="005C429C">
        <w:rPr>
          <w:rFonts w:ascii="Times New Roman" w:hAnsi="Times New Roman" w:cs="Times New Roman"/>
        </w:rPr>
        <w:t xml:space="preserve">. Bubble plot of the overall surrogate relationships with treatment effects on </w:t>
      </w:r>
      <w:r w:rsidR="000E15EC" w:rsidRPr="005C429C">
        <w:rPr>
          <w:rFonts w:ascii="Times New Roman" w:hAnsi="Times New Roman" w:cs="Times New Roman"/>
        </w:rPr>
        <w:t>Aβ</w:t>
      </w:r>
      <w:r w:rsidR="00236786" w:rsidRPr="005C429C">
        <w:rPr>
          <w:rFonts w:ascii="Times New Roman" w:hAnsi="Times New Roman" w:cs="Times New Roman"/>
        </w:rPr>
        <w:t xml:space="preserve"> centiloids (with converted values) and </w:t>
      </w:r>
      <w:r w:rsidR="005339FE" w:rsidRPr="005C429C">
        <w:rPr>
          <w:rFonts w:ascii="Times New Roman" w:hAnsi="Times New Roman" w:cs="Times New Roman"/>
        </w:rPr>
        <w:t xml:space="preserve">Clinical Dementia Rating – Sum of Boxes (CDR-SOB) </w:t>
      </w:r>
      <w:r w:rsidR="00236786" w:rsidRPr="005C429C">
        <w:rPr>
          <w:rFonts w:ascii="Times New Roman" w:hAnsi="Times New Roman" w:cs="Times New Roman"/>
        </w:rPr>
        <w:t>reported at the same time. The mean (95% credible intervals) of intercept, slope and conditional variance were obtained from Daniels and Hughes model. The bubble size corresponds to the number of patients with measured cognitive functions.</w:t>
      </w:r>
    </w:p>
    <w:p w14:paraId="65B2DEDF" w14:textId="77777777" w:rsidR="00C020CC" w:rsidRPr="005C429C" w:rsidRDefault="00C020CC" w:rsidP="00DB55E9">
      <w:pPr>
        <w:pStyle w:val="NormalWeb"/>
        <w:jc w:val="both"/>
      </w:pPr>
      <w:r w:rsidRPr="005C429C">
        <w:rPr>
          <w:noProof/>
        </w:rPr>
        <w:lastRenderedPageBreak/>
        <w:drawing>
          <wp:inline distT="0" distB="0" distL="0" distR="0" wp14:anchorId="65E596C6" wp14:editId="6B4FED8E">
            <wp:extent cx="5400000" cy="3701953"/>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r="14912"/>
                    <a:stretch/>
                  </pic:blipFill>
                  <pic:spPr bwMode="auto">
                    <a:xfrm>
                      <a:off x="0" y="0"/>
                      <a:ext cx="5400000" cy="3701953"/>
                    </a:xfrm>
                    <a:prstGeom prst="rect">
                      <a:avLst/>
                    </a:prstGeom>
                    <a:noFill/>
                    <a:ln>
                      <a:noFill/>
                    </a:ln>
                    <a:extLst>
                      <a:ext uri="{53640926-AAD7-44D8-BBD7-CCE9431645EC}">
                        <a14:shadowObscured xmlns:a14="http://schemas.microsoft.com/office/drawing/2010/main"/>
                      </a:ext>
                    </a:extLst>
                  </pic:spPr>
                </pic:pic>
              </a:graphicData>
            </a:graphic>
          </wp:inline>
        </w:drawing>
      </w:r>
    </w:p>
    <w:p w14:paraId="4A8FD307" w14:textId="51A57C99" w:rsidR="0051143E" w:rsidRPr="005C429C" w:rsidRDefault="00BC3A1A" w:rsidP="00DB55E9">
      <w:pPr>
        <w:jc w:val="both"/>
        <w:rPr>
          <w:rFonts w:ascii="Times New Roman" w:hAnsi="Times New Roman" w:cs="Times New Roman"/>
        </w:rPr>
      </w:pPr>
      <w:r w:rsidRPr="005C429C">
        <w:rPr>
          <w:rFonts w:ascii="Times New Roman" w:hAnsi="Times New Roman" w:cs="Times New Roman"/>
        </w:rPr>
        <w:t>Figure S</w:t>
      </w:r>
      <w:r w:rsidR="00C020CC" w:rsidRPr="005C429C">
        <w:rPr>
          <w:rFonts w:ascii="Times New Roman" w:hAnsi="Times New Roman" w:cs="Times New Roman"/>
        </w:rPr>
        <w:t xml:space="preserve">6. Bubble plot of the overall surrogate relationships with treatment effects on </w:t>
      </w:r>
      <w:r w:rsidR="000E15EC" w:rsidRPr="005C429C">
        <w:rPr>
          <w:rFonts w:ascii="Times New Roman" w:hAnsi="Times New Roman" w:cs="Times New Roman"/>
        </w:rPr>
        <w:t>Aβ</w:t>
      </w:r>
      <w:r w:rsidR="00C020CC" w:rsidRPr="005C429C">
        <w:rPr>
          <w:rFonts w:ascii="Times New Roman" w:hAnsi="Times New Roman" w:cs="Times New Roman"/>
        </w:rPr>
        <w:t xml:space="preserve"> centiloids (without converted values) and Clinical Dementia Rating – Sum of Boxes (CDR-SOB) reported at the same time. The mean (95% credible intervals) of intercept, slope and conditional variance were obtained from Daniels and Hughes model. The bubble size corresponds to the number of patients with measured cognitive functions.</w:t>
      </w:r>
    </w:p>
    <w:p w14:paraId="56270394" w14:textId="27BEC9DE" w:rsidR="00A27745" w:rsidRPr="005C429C" w:rsidRDefault="00AD4C3C" w:rsidP="00DB55E9">
      <w:pPr>
        <w:jc w:val="both"/>
        <w:rPr>
          <w:rFonts w:ascii="Times New Roman" w:hAnsi="Times New Roman" w:cs="Times New Roman"/>
          <w:sz w:val="24"/>
          <w:szCs w:val="24"/>
        </w:rPr>
      </w:pPr>
      <w:bookmarkStart w:id="2" w:name="_Hlk181716742"/>
      <w:r w:rsidRPr="005C429C">
        <w:rPr>
          <w:rFonts w:ascii="Times New Roman" w:hAnsi="Times New Roman" w:cs="Times New Roman"/>
          <w:sz w:val="24"/>
          <w:szCs w:val="24"/>
        </w:rPr>
        <w:t>Appendix C</w:t>
      </w:r>
      <w:r w:rsidR="00023DAC" w:rsidRPr="005C429C">
        <w:rPr>
          <w:rFonts w:ascii="Times New Roman" w:hAnsi="Times New Roman" w:cs="Times New Roman"/>
          <w:sz w:val="24"/>
          <w:szCs w:val="24"/>
        </w:rPr>
        <w:t>3</w:t>
      </w:r>
      <w:r w:rsidR="00AE656B" w:rsidRPr="005C429C">
        <w:rPr>
          <w:rFonts w:ascii="Times New Roman" w:hAnsi="Times New Roman" w:cs="Times New Roman"/>
          <w:sz w:val="24"/>
          <w:szCs w:val="24"/>
        </w:rPr>
        <w:t xml:space="preserve">. </w:t>
      </w:r>
      <w:r w:rsidR="00A27745" w:rsidRPr="005C429C">
        <w:rPr>
          <w:rFonts w:ascii="Times New Roman" w:hAnsi="Times New Roman" w:cs="Times New Roman"/>
          <w:sz w:val="24"/>
          <w:szCs w:val="24"/>
        </w:rPr>
        <w:t xml:space="preserve">Further analyses for evaluating surrogate relationship </w:t>
      </w:r>
      <w:r w:rsidR="00551B4E" w:rsidRPr="005C429C">
        <w:rPr>
          <w:rFonts w:ascii="Times New Roman" w:hAnsi="Times New Roman" w:cs="Times New Roman"/>
          <w:sz w:val="24"/>
          <w:szCs w:val="24"/>
        </w:rPr>
        <w:t>by treatment</w:t>
      </w:r>
    </w:p>
    <w:bookmarkEnd w:id="2"/>
    <w:p w14:paraId="52130940" w14:textId="116B900F" w:rsidR="003428ED" w:rsidRPr="005C429C" w:rsidRDefault="00AE656B" w:rsidP="00DB55E9">
      <w:pPr>
        <w:jc w:val="both"/>
        <w:rPr>
          <w:rFonts w:ascii="Times New Roman" w:hAnsi="Times New Roman" w:cs="Times New Roman"/>
        </w:rPr>
      </w:pPr>
      <w:r w:rsidRPr="005C429C">
        <w:rPr>
          <w:rFonts w:ascii="Times New Roman" w:hAnsi="Times New Roman" w:cs="Times New Roman"/>
        </w:rPr>
        <w:t xml:space="preserve">The surrogate relationships for individual treatments were discussed in Section 3.2.1. The results of partial exchangeability model are presented along with the results of subgroup analysis and full exchangeability model in </w:t>
      </w:r>
      <w:r w:rsidR="00BC3A1A" w:rsidRPr="005C429C">
        <w:rPr>
          <w:rFonts w:ascii="Times New Roman" w:hAnsi="Times New Roman" w:cs="Times New Roman"/>
        </w:rPr>
        <w:t>Figure S</w:t>
      </w:r>
      <w:r w:rsidR="00023DAC" w:rsidRPr="005C429C">
        <w:rPr>
          <w:rFonts w:ascii="Times New Roman" w:hAnsi="Times New Roman" w:cs="Times New Roman"/>
        </w:rPr>
        <w:t>7</w:t>
      </w:r>
      <w:r w:rsidRPr="005C429C">
        <w:rPr>
          <w:rFonts w:ascii="Times New Roman" w:hAnsi="Times New Roman" w:cs="Times New Roman"/>
        </w:rPr>
        <w:t>.</w:t>
      </w:r>
      <w:r w:rsidR="003428ED" w:rsidRPr="005C429C">
        <w:rPr>
          <w:rFonts w:ascii="Times New Roman" w:hAnsi="Times New Roman" w:cs="Times New Roman"/>
        </w:rPr>
        <w:t xml:space="preserve"> </w:t>
      </w:r>
    </w:p>
    <w:p w14:paraId="0777BE3F" w14:textId="0928F4CB" w:rsidR="003428ED" w:rsidRPr="005C429C" w:rsidRDefault="003428ED" w:rsidP="00DB55E9">
      <w:pPr>
        <w:jc w:val="both"/>
        <w:rPr>
          <w:rFonts w:ascii="Times New Roman" w:hAnsi="Times New Roman" w:cs="Times New Roman"/>
        </w:rPr>
      </w:pPr>
      <w:r w:rsidRPr="005C429C">
        <w:rPr>
          <w:rFonts w:ascii="Times New Roman" w:hAnsi="Times New Roman" w:cs="Times New Roman"/>
        </w:rPr>
        <w:t>The partial exchangeability hierarchical model allows for the flexible borrowing of information across treatments, resulting in the estimation of key parameters with less uncertainty.</w:t>
      </w:r>
      <w:r w:rsidR="003D5157" w:rsidRPr="005C429C">
        <w:rPr>
          <w:rFonts w:ascii="Times New Roman" w:hAnsi="Times New Roman" w:cs="Times New Roman"/>
        </w:rPr>
        <w:t xml:space="preserve"> T</w:t>
      </w:r>
      <w:r w:rsidRPr="005C429C">
        <w:rPr>
          <w:rFonts w:ascii="Times New Roman" w:hAnsi="Times New Roman" w:cs="Times New Roman"/>
          <w:color w:val="000000" w:themeColor="text1"/>
        </w:rPr>
        <w:t>he surrogate relationship for lecanemab</w:t>
      </w:r>
      <w:r w:rsidR="00923CDD" w:rsidRPr="005C429C">
        <w:rPr>
          <w:rFonts w:ascii="Times New Roman" w:hAnsi="Times New Roman" w:cs="Times New Roman"/>
          <w:color w:val="000000" w:themeColor="text1"/>
        </w:rPr>
        <w:t xml:space="preserve"> </w:t>
      </w:r>
      <w:r w:rsidR="003D5157" w:rsidRPr="005C429C">
        <w:rPr>
          <w:rFonts w:ascii="Times New Roman" w:hAnsi="Times New Roman" w:cs="Times New Roman"/>
          <w:color w:val="000000" w:themeColor="text1"/>
        </w:rPr>
        <w:t xml:space="preserve">from the partial </w:t>
      </w:r>
      <w:r w:rsidR="003D5157" w:rsidRPr="005C429C">
        <w:rPr>
          <w:rFonts w:ascii="Times New Roman" w:hAnsi="Times New Roman" w:cs="Times New Roman"/>
        </w:rPr>
        <w:t xml:space="preserve">exchangeability hierarchical model </w:t>
      </w:r>
      <w:r w:rsidRPr="005C429C">
        <w:rPr>
          <w:rFonts w:ascii="Times New Roman" w:hAnsi="Times New Roman" w:cs="Times New Roman"/>
          <w:color w:val="000000" w:themeColor="text1"/>
        </w:rPr>
        <w:t xml:space="preserve">was </w:t>
      </w:r>
      <w:r w:rsidR="003D5157" w:rsidRPr="005C429C">
        <w:rPr>
          <w:rFonts w:ascii="Times New Roman" w:hAnsi="Times New Roman" w:cs="Times New Roman"/>
          <w:color w:val="000000" w:themeColor="text1"/>
        </w:rPr>
        <w:t>moderate</w:t>
      </w:r>
      <w:r w:rsidRPr="005C429C">
        <w:rPr>
          <w:rFonts w:ascii="Times New Roman" w:hAnsi="Times New Roman" w:cs="Times New Roman"/>
          <w:color w:val="000000" w:themeColor="text1"/>
        </w:rPr>
        <w:t xml:space="preserve">, with the slope </w:t>
      </w:r>
      <w:r w:rsidR="00923CDD" w:rsidRPr="005C429C">
        <w:rPr>
          <w:rFonts w:ascii="Times New Roman" w:hAnsi="Times New Roman" w:cs="Times New Roman"/>
          <w:color w:val="000000" w:themeColor="text1"/>
        </w:rPr>
        <w:t>1.</w:t>
      </w:r>
      <w:r w:rsidR="00AD57B5" w:rsidRPr="005C429C">
        <w:rPr>
          <w:rFonts w:ascii="Times New Roman" w:hAnsi="Times New Roman" w:cs="Times New Roman"/>
          <w:color w:val="000000" w:themeColor="text1"/>
        </w:rPr>
        <w:t>71</w:t>
      </w:r>
      <w:r w:rsidRPr="005C429C">
        <w:rPr>
          <w:rFonts w:ascii="Times New Roman" w:hAnsi="Times New Roman" w:cs="Times New Roman"/>
          <w:color w:val="000000" w:themeColor="text1"/>
        </w:rPr>
        <w:t xml:space="preserve"> (95% CrI: </w:t>
      </w:r>
      <w:r w:rsidR="00923CDD" w:rsidRPr="005C429C">
        <w:rPr>
          <w:rFonts w:ascii="Times New Roman" w:hAnsi="Times New Roman" w:cs="Times New Roman"/>
          <w:color w:val="000000" w:themeColor="text1"/>
        </w:rPr>
        <w:t>0.0</w:t>
      </w:r>
      <w:r w:rsidR="00AD57B5" w:rsidRPr="005C429C">
        <w:rPr>
          <w:rFonts w:ascii="Times New Roman" w:hAnsi="Times New Roman" w:cs="Times New Roman"/>
          <w:color w:val="000000" w:themeColor="text1"/>
        </w:rPr>
        <w:t>8</w:t>
      </w:r>
      <w:r w:rsidRPr="005C429C">
        <w:rPr>
          <w:rFonts w:ascii="Times New Roman" w:hAnsi="Times New Roman" w:cs="Times New Roman"/>
          <w:color w:val="000000" w:themeColor="text1"/>
        </w:rPr>
        <w:t xml:space="preserve">, </w:t>
      </w:r>
      <w:r w:rsidR="00923CDD" w:rsidRPr="005C429C">
        <w:rPr>
          <w:rFonts w:ascii="Times New Roman" w:hAnsi="Times New Roman" w:cs="Times New Roman"/>
          <w:color w:val="000000" w:themeColor="text1"/>
        </w:rPr>
        <w:t>3.3</w:t>
      </w:r>
      <w:r w:rsidR="00AD57B5" w:rsidRPr="005C429C">
        <w:rPr>
          <w:rFonts w:ascii="Times New Roman" w:hAnsi="Times New Roman" w:cs="Times New Roman"/>
          <w:color w:val="000000" w:themeColor="text1"/>
        </w:rPr>
        <w:t>5</w:t>
      </w:r>
      <w:r w:rsidRPr="005C429C">
        <w:rPr>
          <w:rFonts w:ascii="Times New Roman" w:hAnsi="Times New Roman" w:cs="Times New Roman"/>
          <w:color w:val="000000" w:themeColor="text1"/>
        </w:rPr>
        <w:t>) and conditional variance 0.0</w:t>
      </w:r>
      <w:r w:rsidR="00923CDD" w:rsidRPr="005C429C">
        <w:rPr>
          <w:rFonts w:ascii="Times New Roman" w:hAnsi="Times New Roman" w:cs="Times New Roman"/>
          <w:color w:val="000000" w:themeColor="text1"/>
        </w:rPr>
        <w:t>3</w:t>
      </w:r>
      <w:r w:rsidRPr="005C429C">
        <w:rPr>
          <w:rFonts w:ascii="Times New Roman" w:hAnsi="Times New Roman" w:cs="Times New Roman"/>
          <w:color w:val="000000" w:themeColor="text1"/>
        </w:rPr>
        <w:t xml:space="preserve"> (95% CrI: 0, 0.</w:t>
      </w:r>
      <w:r w:rsidR="00923CDD" w:rsidRPr="005C429C">
        <w:rPr>
          <w:rFonts w:ascii="Times New Roman" w:hAnsi="Times New Roman" w:cs="Times New Roman"/>
          <w:color w:val="000000" w:themeColor="text1"/>
        </w:rPr>
        <w:t>22</w:t>
      </w:r>
      <w:r w:rsidRPr="005C429C">
        <w:rPr>
          <w:rFonts w:ascii="Times New Roman" w:hAnsi="Times New Roman" w:cs="Times New Roman"/>
          <w:color w:val="000000" w:themeColor="text1"/>
        </w:rPr>
        <w:t>)</w:t>
      </w:r>
      <w:r w:rsidR="003D5157" w:rsidRPr="005C429C">
        <w:rPr>
          <w:rFonts w:ascii="Times New Roman" w:hAnsi="Times New Roman" w:cs="Times New Roman"/>
          <w:color w:val="000000" w:themeColor="text1"/>
        </w:rPr>
        <w:t>. The surrogate relationship for all the other drugs was weak</w:t>
      </w:r>
      <w:r w:rsidR="00AD57B5" w:rsidRPr="005C429C">
        <w:rPr>
          <w:rFonts w:ascii="Times New Roman" w:hAnsi="Times New Roman" w:cs="Times New Roman"/>
          <w:color w:val="000000" w:themeColor="text1"/>
        </w:rPr>
        <w:t xml:space="preserve"> with zero included in the credible intervals of slope</w:t>
      </w:r>
      <w:r w:rsidR="003D5157" w:rsidRPr="005C429C">
        <w:rPr>
          <w:rFonts w:ascii="Times New Roman" w:hAnsi="Times New Roman" w:cs="Times New Roman"/>
          <w:color w:val="000000" w:themeColor="text1"/>
        </w:rPr>
        <w:t xml:space="preserve">. For example, for aducanumab, </w:t>
      </w:r>
      <w:r w:rsidR="00923CDD" w:rsidRPr="005C429C">
        <w:rPr>
          <w:rFonts w:ascii="Times New Roman" w:hAnsi="Times New Roman" w:cs="Times New Roman"/>
          <w:color w:val="000000" w:themeColor="text1"/>
        </w:rPr>
        <w:t xml:space="preserve">the slope </w:t>
      </w:r>
      <w:r w:rsidR="003D5157" w:rsidRPr="005C429C">
        <w:rPr>
          <w:rFonts w:ascii="Times New Roman" w:hAnsi="Times New Roman" w:cs="Times New Roman"/>
          <w:color w:val="000000" w:themeColor="text1"/>
        </w:rPr>
        <w:t xml:space="preserve">was </w:t>
      </w:r>
      <w:r w:rsidR="00923CDD" w:rsidRPr="005C429C">
        <w:rPr>
          <w:rFonts w:ascii="Times New Roman" w:hAnsi="Times New Roman" w:cs="Times New Roman"/>
          <w:color w:val="000000" w:themeColor="text1"/>
        </w:rPr>
        <w:t>2.</w:t>
      </w:r>
      <w:r w:rsidR="00AD57B5" w:rsidRPr="005C429C">
        <w:rPr>
          <w:rFonts w:ascii="Times New Roman" w:hAnsi="Times New Roman" w:cs="Times New Roman"/>
          <w:color w:val="000000" w:themeColor="text1"/>
        </w:rPr>
        <w:t>59</w:t>
      </w:r>
      <w:r w:rsidR="00923CDD" w:rsidRPr="005C429C">
        <w:rPr>
          <w:rFonts w:ascii="Times New Roman" w:hAnsi="Times New Roman" w:cs="Times New Roman"/>
          <w:color w:val="000000" w:themeColor="text1"/>
        </w:rPr>
        <w:t xml:space="preserve"> (95% CrI: -0.0</w:t>
      </w:r>
      <w:r w:rsidR="00AD57B5" w:rsidRPr="005C429C">
        <w:rPr>
          <w:rFonts w:ascii="Times New Roman" w:hAnsi="Times New Roman" w:cs="Times New Roman"/>
          <w:color w:val="000000" w:themeColor="text1"/>
        </w:rPr>
        <w:t>3</w:t>
      </w:r>
      <w:r w:rsidR="00923CDD" w:rsidRPr="005C429C">
        <w:rPr>
          <w:rFonts w:ascii="Times New Roman" w:hAnsi="Times New Roman" w:cs="Times New Roman"/>
          <w:color w:val="000000" w:themeColor="text1"/>
        </w:rPr>
        <w:t xml:space="preserve">, </w:t>
      </w:r>
      <w:r w:rsidR="00AD57B5" w:rsidRPr="005C429C">
        <w:rPr>
          <w:rFonts w:ascii="Times New Roman" w:hAnsi="Times New Roman" w:cs="Times New Roman"/>
          <w:color w:val="000000" w:themeColor="text1"/>
        </w:rPr>
        <w:t>6</w:t>
      </w:r>
      <w:r w:rsidR="00923CDD" w:rsidRPr="005C429C">
        <w:rPr>
          <w:rFonts w:ascii="Times New Roman" w:hAnsi="Times New Roman" w:cs="Times New Roman"/>
          <w:color w:val="000000" w:themeColor="text1"/>
        </w:rPr>
        <w:t>.</w:t>
      </w:r>
      <w:r w:rsidR="00AD57B5" w:rsidRPr="005C429C">
        <w:rPr>
          <w:rFonts w:ascii="Times New Roman" w:hAnsi="Times New Roman" w:cs="Times New Roman"/>
          <w:color w:val="000000" w:themeColor="text1"/>
        </w:rPr>
        <w:t>92</w:t>
      </w:r>
      <w:r w:rsidR="00923CDD" w:rsidRPr="005C429C">
        <w:rPr>
          <w:rFonts w:ascii="Times New Roman" w:hAnsi="Times New Roman" w:cs="Times New Roman"/>
          <w:color w:val="000000" w:themeColor="text1"/>
        </w:rPr>
        <w:t>) and conditional variance</w:t>
      </w:r>
      <w:r w:rsidR="003D5157" w:rsidRPr="005C429C">
        <w:rPr>
          <w:rFonts w:ascii="Times New Roman" w:hAnsi="Times New Roman" w:cs="Times New Roman"/>
          <w:color w:val="000000" w:themeColor="text1"/>
        </w:rPr>
        <w:t xml:space="preserve"> was</w:t>
      </w:r>
      <w:r w:rsidR="00923CDD" w:rsidRPr="005C429C">
        <w:rPr>
          <w:rFonts w:ascii="Times New Roman" w:hAnsi="Times New Roman" w:cs="Times New Roman"/>
          <w:color w:val="000000" w:themeColor="text1"/>
        </w:rPr>
        <w:t xml:space="preserve"> 0.03 (95% CrI: 0, 0.1</w:t>
      </w:r>
      <w:r w:rsidR="00AD57B5" w:rsidRPr="005C429C">
        <w:rPr>
          <w:rFonts w:ascii="Times New Roman" w:hAnsi="Times New Roman" w:cs="Times New Roman"/>
          <w:color w:val="000000" w:themeColor="text1"/>
        </w:rPr>
        <w:t>6</w:t>
      </w:r>
      <w:r w:rsidR="00923CDD" w:rsidRPr="005C429C">
        <w:rPr>
          <w:rFonts w:ascii="Times New Roman" w:hAnsi="Times New Roman" w:cs="Times New Roman"/>
          <w:color w:val="000000" w:themeColor="text1"/>
        </w:rPr>
        <w:t>).</w:t>
      </w:r>
      <w:r w:rsidR="003D5157" w:rsidRPr="005C429C">
        <w:rPr>
          <w:rFonts w:ascii="Times New Roman" w:hAnsi="Times New Roman" w:cs="Times New Roman"/>
          <w:color w:val="000000" w:themeColor="text1"/>
        </w:rPr>
        <w:t xml:space="preserve"> </w:t>
      </w:r>
    </w:p>
    <w:p w14:paraId="293BAFBB" w14:textId="5F0E835C" w:rsidR="00C9478E" w:rsidRPr="005C429C" w:rsidRDefault="00C9478E" w:rsidP="00DB55E9">
      <w:pPr>
        <w:spacing w:after="240"/>
        <w:jc w:val="both"/>
        <w:rPr>
          <w:rFonts w:ascii="Times New Roman" w:hAnsi="Times New Roman" w:cs="Times New Roman"/>
        </w:rPr>
      </w:pPr>
      <w:r w:rsidRPr="005C429C">
        <w:rPr>
          <w:rFonts w:ascii="Times New Roman" w:hAnsi="Times New Roman" w:cs="Times New Roman"/>
        </w:rPr>
        <w:t xml:space="preserve">The posterior mean of mixture weights </w:t>
      </w:r>
      <w:r w:rsidR="003428ED" w:rsidRPr="005C429C">
        <w:rPr>
          <w:rFonts w:ascii="Times New Roman" w:hAnsi="Times New Roman" w:cs="Times New Roman"/>
        </w:rPr>
        <w:t xml:space="preserve">from the partial exchangeability model </w:t>
      </w:r>
      <w:r w:rsidRPr="005C429C">
        <w:rPr>
          <w:rFonts w:ascii="Times New Roman" w:hAnsi="Times New Roman" w:cs="Times New Roman"/>
        </w:rPr>
        <w:t>had an average of 0.8</w:t>
      </w:r>
      <w:r w:rsidR="00B7728A" w:rsidRPr="005C429C">
        <w:rPr>
          <w:rFonts w:ascii="Times New Roman" w:hAnsi="Times New Roman" w:cs="Times New Roman"/>
        </w:rPr>
        <w:t>3</w:t>
      </w:r>
      <w:r w:rsidRPr="005C429C">
        <w:rPr>
          <w:rFonts w:ascii="Times New Roman" w:hAnsi="Times New Roman" w:cs="Times New Roman"/>
        </w:rPr>
        <w:t>, indicating a high level of borrowing of information</w:t>
      </w:r>
      <w:r w:rsidR="003428ED" w:rsidRPr="005C429C">
        <w:rPr>
          <w:rFonts w:ascii="Times New Roman" w:hAnsi="Times New Roman" w:cs="Times New Roman"/>
        </w:rPr>
        <w:t>. When comparing results from the full exchangeability model with subgroup analyses, the reduction in the width of CrI was 7</w:t>
      </w:r>
      <w:r w:rsidR="00BF3623" w:rsidRPr="005C429C">
        <w:rPr>
          <w:rFonts w:ascii="Times New Roman" w:hAnsi="Times New Roman" w:cs="Times New Roman"/>
        </w:rPr>
        <w:t>1</w:t>
      </w:r>
      <w:r w:rsidR="003428ED" w:rsidRPr="005C429C">
        <w:rPr>
          <w:rFonts w:ascii="Times New Roman" w:hAnsi="Times New Roman" w:cs="Times New Roman"/>
        </w:rPr>
        <w:t>% (5</w:t>
      </w:r>
      <w:r w:rsidR="00BF3623" w:rsidRPr="005C429C">
        <w:rPr>
          <w:rFonts w:ascii="Times New Roman" w:hAnsi="Times New Roman" w:cs="Times New Roman"/>
        </w:rPr>
        <w:t>1</w:t>
      </w:r>
      <w:r w:rsidR="003428ED" w:rsidRPr="005C429C">
        <w:rPr>
          <w:rFonts w:ascii="Times New Roman" w:hAnsi="Times New Roman" w:cs="Times New Roman"/>
        </w:rPr>
        <w:t xml:space="preserve">%-95%) for slope and </w:t>
      </w:r>
      <w:r w:rsidR="00BF3623" w:rsidRPr="005C429C">
        <w:rPr>
          <w:rFonts w:ascii="Times New Roman" w:hAnsi="Times New Roman" w:cs="Times New Roman"/>
        </w:rPr>
        <w:t>28</w:t>
      </w:r>
      <w:r w:rsidR="003428ED" w:rsidRPr="005C429C">
        <w:rPr>
          <w:rFonts w:ascii="Times New Roman" w:hAnsi="Times New Roman" w:cs="Times New Roman"/>
        </w:rPr>
        <w:t>% (</w:t>
      </w:r>
      <w:r w:rsidR="00BF3623" w:rsidRPr="005C429C">
        <w:rPr>
          <w:rFonts w:ascii="Times New Roman" w:hAnsi="Times New Roman" w:cs="Times New Roman"/>
        </w:rPr>
        <w:t>7</w:t>
      </w:r>
      <w:r w:rsidR="003428ED" w:rsidRPr="005C429C">
        <w:rPr>
          <w:rFonts w:ascii="Times New Roman" w:hAnsi="Times New Roman" w:cs="Times New Roman"/>
        </w:rPr>
        <w:t>%-6</w:t>
      </w:r>
      <w:r w:rsidR="00BF3623" w:rsidRPr="005C429C">
        <w:rPr>
          <w:rFonts w:ascii="Times New Roman" w:hAnsi="Times New Roman" w:cs="Times New Roman"/>
        </w:rPr>
        <w:t>5</w:t>
      </w:r>
      <w:r w:rsidR="003428ED" w:rsidRPr="005C429C">
        <w:rPr>
          <w:rFonts w:ascii="Times New Roman" w:hAnsi="Times New Roman" w:cs="Times New Roman"/>
        </w:rPr>
        <w:t>%) for conditional variance. When comparing results from the partial exchangeability model with subgroup analyses, t</w:t>
      </w:r>
      <w:r w:rsidRPr="005C429C">
        <w:rPr>
          <w:rFonts w:ascii="Times New Roman" w:hAnsi="Times New Roman" w:cs="Times New Roman"/>
        </w:rPr>
        <w:t>he reduction in the width of CrI was 5</w:t>
      </w:r>
      <w:r w:rsidR="00BF3623" w:rsidRPr="005C429C">
        <w:rPr>
          <w:rFonts w:ascii="Times New Roman" w:hAnsi="Times New Roman" w:cs="Times New Roman"/>
        </w:rPr>
        <w:t>4</w:t>
      </w:r>
      <w:r w:rsidRPr="005C429C">
        <w:rPr>
          <w:rFonts w:ascii="Times New Roman" w:hAnsi="Times New Roman" w:cs="Times New Roman"/>
        </w:rPr>
        <w:t>% (</w:t>
      </w:r>
      <w:r w:rsidR="00BF3623" w:rsidRPr="005C429C">
        <w:rPr>
          <w:rFonts w:ascii="Times New Roman" w:hAnsi="Times New Roman" w:cs="Times New Roman"/>
        </w:rPr>
        <w:t>34</w:t>
      </w:r>
      <w:r w:rsidRPr="005C429C">
        <w:rPr>
          <w:rFonts w:ascii="Times New Roman" w:hAnsi="Times New Roman" w:cs="Times New Roman"/>
        </w:rPr>
        <w:t>%-94%) for slope and 2</w:t>
      </w:r>
      <w:r w:rsidR="00BF3623" w:rsidRPr="005C429C">
        <w:rPr>
          <w:rFonts w:ascii="Times New Roman" w:hAnsi="Times New Roman" w:cs="Times New Roman"/>
        </w:rPr>
        <w:t>4</w:t>
      </w:r>
      <w:r w:rsidRPr="005C429C">
        <w:rPr>
          <w:rFonts w:ascii="Times New Roman" w:hAnsi="Times New Roman" w:cs="Times New Roman"/>
        </w:rPr>
        <w:t>% (</w:t>
      </w:r>
      <w:r w:rsidR="00BF3623" w:rsidRPr="005C429C">
        <w:rPr>
          <w:rFonts w:ascii="Times New Roman" w:hAnsi="Times New Roman" w:cs="Times New Roman"/>
        </w:rPr>
        <w:t>6</w:t>
      </w:r>
      <w:r w:rsidRPr="005C429C">
        <w:rPr>
          <w:rFonts w:ascii="Times New Roman" w:hAnsi="Times New Roman" w:cs="Times New Roman"/>
        </w:rPr>
        <w:t>%-6</w:t>
      </w:r>
      <w:r w:rsidR="00BF3623" w:rsidRPr="005C429C">
        <w:rPr>
          <w:rFonts w:ascii="Times New Roman" w:hAnsi="Times New Roman" w:cs="Times New Roman"/>
        </w:rPr>
        <w:t>3</w:t>
      </w:r>
      <w:r w:rsidRPr="005C429C">
        <w:rPr>
          <w:rFonts w:ascii="Times New Roman" w:hAnsi="Times New Roman" w:cs="Times New Roman"/>
        </w:rPr>
        <w:t>%) for conditional variance</w:t>
      </w:r>
      <w:r w:rsidR="003428ED" w:rsidRPr="005C429C">
        <w:rPr>
          <w:rFonts w:ascii="Times New Roman" w:hAnsi="Times New Roman" w:cs="Times New Roman"/>
        </w:rPr>
        <w:t xml:space="preserve">. </w:t>
      </w:r>
      <w:r w:rsidRPr="005C429C">
        <w:rPr>
          <w:rFonts w:ascii="Times New Roman" w:hAnsi="Times New Roman" w:cs="Times New Roman"/>
        </w:rPr>
        <w:t>The reduction is greater for the full exchangeability model as more information was borrowed in the full exchangeability model.</w:t>
      </w:r>
    </w:p>
    <w:p w14:paraId="095EFC42" w14:textId="005E8A00" w:rsidR="00262C12" w:rsidRPr="005C429C" w:rsidRDefault="00262C12" w:rsidP="00DB55E9">
      <w:pPr>
        <w:jc w:val="both"/>
        <w:rPr>
          <w:rFonts w:ascii="Times New Roman" w:hAnsi="Times New Roman" w:cs="Times New Roman"/>
        </w:rPr>
      </w:pPr>
      <w:r w:rsidRPr="005C429C">
        <w:rPr>
          <w:rFonts w:ascii="Times New Roman" w:hAnsi="Times New Roman" w:cs="Times New Roman"/>
          <w:noProof/>
        </w:rPr>
        <w:lastRenderedPageBreak/>
        <w:drawing>
          <wp:inline distT="0" distB="0" distL="0" distR="0" wp14:anchorId="3DA1C9C7" wp14:editId="45E0E4FC">
            <wp:extent cx="5731510" cy="2149475"/>
            <wp:effectExtent l="0" t="0" r="2540" b="3175"/>
            <wp:docPr id="75222481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731510" cy="2149475"/>
                    </a:xfrm>
                    <a:prstGeom prst="rect">
                      <a:avLst/>
                    </a:prstGeom>
                    <a:noFill/>
                    <a:ln>
                      <a:noFill/>
                    </a:ln>
                  </pic:spPr>
                </pic:pic>
              </a:graphicData>
            </a:graphic>
          </wp:inline>
        </w:drawing>
      </w:r>
    </w:p>
    <w:p w14:paraId="616C5D0B" w14:textId="7D5AC78D" w:rsidR="00B128C7" w:rsidRPr="005C429C" w:rsidRDefault="00BC3A1A" w:rsidP="00DB55E9">
      <w:pPr>
        <w:jc w:val="both"/>
        <w:rPr>
          <w:rFonts w:ascii="Times New Roman" w:hAnsi="Times New Roman" w:cs="Times New Roman"/>
        </w:rPr>
      </w:pPr>
      <w:r w:rsidRPr="005C429C">
        <w:rPr>
          <w:rFonts w:ascii="Times New Roman" w:hAnsi="Times New Roman" w:cs="Times New Roman"/>
        </w:rPr>
        <w:t>Figure S</w:t>
      </w:r>
      <w:r w:rsidR="00023DAC" w:rsidRPr="005C429C">
        <w:rPr>
          <w:rFonts w:ascii="Times New Roman" w:hAnsi="Times New Roman" w:cs="Times New Roman"/>
        </w:rPr>
        <w:t>7</w:t>
      </w:r>
      <w:r w:rsidR="001D0BFA" w:rsidRPr="005C429C">
        <w:rPr>
          <w:rFonts w:ascii="Times New Roman" w:hAnsi="Times New Roman" w:cs="Times New Roman"/>
        </w:rPr>
        <w:t>. Forest plot of estimates of slope (</w:t>
      </w:r>
      <w:r w:rsidR="00262C12" w:rsidRPr="005C429C">
        <w:rPr>
          <w:rFonts w:ascii="Times New Roman" w:hAnsi="Times New Roman" w:cs="Times New Roman"/>
        </w:rPr>
        <w:t>red</w:t>
      </w:r>
      <w:r w:rsidR="001D0BFA" w:rsidRPr="005C429C">
        <w:rPr>
          <w:rFonts w:ascii="Times New Roman" w:hAnsi="Times New Roman" w:cs="Times New Roman"/>
        </w:rPr>
        <w:t>), intercept (green) and conditional variance (</w:t>
      </w:r>
      <w:r w:rsidR="00262C12" w:rsidRPr="005C429C">
        <w:rPr>
          <w:rFonts w:ascii="Times New Roman" w:hAnsi="Times New Roman" w:cs="Times New Roman"/>
        </w:rPr>
        <w:t>blue</w:t>
      </w:r>
      <w:r w:rsidR="001D0BFA" w:rsidRPr="005C429C">
        <w:rPr>
          <w:rFonts w:ascii="Times New Roman" w:hAnsi="Times New Roman" w:cs="Times New Roman"/>
        </w:rPr>
        <w:t xml:space="preserve">) for </w:t>
      </w:r>
      <w:r w:rsidR="0049794E" w:rsidRPr="005C429C">
        <w:rPr>
          <w:rFonts w:ascii="Times New Roman" w:hAnsi="Times New Roman" w:cs="Times New Roman"/>
        </w:rPr>
        <w:t>Aβ</w:t>
      </w:r>
      <w:r w:rsidR="001D0BFA" w:rsidRPr="005C429C">
        <w:rPr>
          <w:rFonts w:ascii="Times New Roman" w:hAnsi="Times New Roman" w:cs="Times New Roman"/>
        </w:rPr>
        <w:t xml:space="preserve"> </w:t>
      </w:r>
      <w:r w:rsidR="0013617E" w:rsidRPr="005C429C">
        <w:rPr>
          <w:rFonts w:ascii="Times New Roman" w:hAnsi="Times New Roman" w:cs="Times New Roman"/>
        </w:rPr>
        <w:t>standardised uptake value ratio (SUVR)</w:t>
      </w:r>
      <w:r w:rsidR="001D0BFA" w:rsidRPr="005C429C">
        <w:rPr>
          <w:rFonts w:ascii="Times New Roman" w:hAnsi="Times New Roman" w:cs="Times New Roman"/>
        </w:rPr>
        <w:t xml:space="preserve"> as a surrogate for </w:t>
      </w:r>
      <w:r w:rsidR="005339FE" w:rsidRPr="005C429C">
        <w:rPr>
          <w:rFonts w:ascii="Times New Roman" w:hAnsi="Times New Roman" w:cs="Times New Roman"/>
        </w:rPr>
        <w:t>Clinical Dementia Rating – Sum of Boxes (</w:t>
      </w:r>
      <w:r w:rsidR="001D0BFA" w:rsidRPr="005C429C">
        <w:rPr>
          <w:rFonts w:ascii="Times New Roman" w:hAnsi="Times New Roman" w:cs="Times New Roman"/>
        </w:rPr>
        <w:t>CDR-SOB</w:t>
      </w:r>
      <w:r w:rsidR="005339FE" w:rsidRPr="005C429C">
        <w:rPr>
          <w:rFonts w:ascii="Times New Roman" w:hAnsi="Times New Roman" w:cs="Times New Roman"/>
        </w:rPr>
        <w:t>)</w:t>
      </w:r>
      <w:r w:rsidR="001D0BFA" w:rsidRPr="005C429C">
        <w:rPr>
          <w:rFonts w:ascii="Times New Roman" w:hAnsi="Times New Roman" w:cs="Times New Roman"/>
        </w:rPr>
        <w:t>. Each column represents a different model, and each row corresponds to a different treatment. N represents the number of studies included</w:t>
      </w:r>
      <w:r w:rsidR="009E0583" w:rsidRPr="005C429C">
        <w:rPr>
          <w:rFonts w:ascii="Times New Roman" w:hAnsi="Times New Roman" w:cs="Times New Roman"/>
        </w:rPr>
        <w:t xml:space="preserve"> and M represent the total number of contrasts included.</w:t>
      </w:r>
    </w:p>
    <w:p w14:paraId="000AEE65" w14:textId="77777777" w:rsidR="00023DAC" w:rsidRPr="005C429C" w:rsidRDefault="00023DAC" w:rsidP="00DB55E9">
      <w:pPr>
        <w:jc w:val="both"/>
        <w:rPr>
          <w:rFonts w:ascii="Times New Roman" w:hAnsi="Times New Roman" w:cs="Times New Roman"/>
          <w:sz w:val="24"/>
          <w:szCs w:val="24"/>
        </w:rPr>
      </w:pPr>
    </w:p>
    <w:p w14:paraId="291356D7" w14:textId="77777777" w:rsidR="0051143E" w:rsidRPr="005C429C" w:rsidRDefault="0051143E" w:rsidP="00DB55E9">
      <w:pPr>
        <w:jc w:val="both"/>
        <w:rPr>
          <w:rFonts w:ascii="Times New Roman" w:hAnsi="Times New Roman" w:cs="Times New Roman"/>
        </w:rPr>
      </w:pPr>
    </w:p>
    <w:p w14:paraId="736FAB00" w14:textId="59AAA266" w:rsidR="0022040F" w:rsidRPr="005C429C" w:rsidRDefault="00AD4C3C" w:rsidP="00DB55E9">
      <w:pPr>
        <w:jc w:val="both"/>
        <w:rPr>
          <w:rFonts w:ascii="Times New Roman" w:hAnsi="Times New Roman" w:cs="Times New Roman"/>
          <w:sz w:val="24"/>
          <w:szCs w:val="24"/>
        </w:rPr>
      </w:pPr>
      <w:r w:rsidRPr="005C429C">
        <w:rPr>
          <w:rFonts w:ascii="Times New Roman" w:hAnsi="Times New Roman" w:cs="Times New Roman"/>
          <w:sz w:val="24"/>
          <w:szCs w:val="24"/>
        </w:rPr>
        <w:t>Appendix C</w:t>
      </w:r>
      <w:r w:rsidR="00023DAC" w:rsidRPr="005C429C">
        <w:rPr>
          <w:rFonts w:ascii="Times New Roman" w:hAnsi="Times New Roman" w:cs="Times New Roman"/>
          <w:sz w:val="24"/>
          <w:szCs w:val="24"/>
        </w:rPr>
        <w:t>4</w:t>
      </w:r>
      <w:r w:rsidR="0022040F" w:rsidRPr="005C429C">
        <w:rPr>
          <w:rFonts w:ascii="Times New Roman" w:hAnsi="Times New Roman" w:cs="Times New Roman"/>
          <w:sz w:val="24"/>
          <w:szCs w:val="24"/>
        </w:rPr>
        <w:t>. Cross validations and predictions</w:t>
      </w:r>
      <w:r w:rsidR="00023DAC" w:rsidRPr="005C429C">
        <w:rPr>
          <w:rFonts w:ascii="Times New Roman" w:hAnsi="Times New Roman" w:cs="Times New Roman"/>
          <w:sz w:val="24"/>
          <w:szCs w:val="24"/>
        </w:rPr>
        <w:t xml:space="preserve"> for the analysis of surrogate relationships for individual treatments</w:t>
      </w:r>
    </w:p>
    <w:p w14:paraId="65381811" w14:textId="441588E2" w:rsidR="00823CB1" w:rsidRPr="005C429C" w:rsidRDefault="00023DAC" w:rsidP="00DB55E9">
      <w:pPr>
        <w:jc w:val="both"/>
        <w:rPr>
          <w:rFonts w:ascii="Times New Roman" w:hAnsi="Times New Roman" w:cs="Times New Roman"/>
        </w:rPr>
      </w:pPr>
      <w:r w:rsidRPr="005C429C">
        <w:rPr>
          <w:rFonts w:ascii="Times New Roman" w:hAnsi="Times New Roman" w:cs="Times New Roman"/>
        </w:rPr>
        <w:t>Leave</w:t>
      </w:r>
      <w:r w:rsidR="00AD19E8" w:rsidRPr="005C429C">
        <w:rPr>
          <w:rFonts w:ascii="Times New Roman" w:hAnsi="Times New Roman" w:cs="Times New Roman"/>
        </w:rPr>
        <w:t xml:space="preserve">-one-out cross-validation was also performed to evaluate the predictive value of Aβ </w:t>
      </w:r>
      <w:r w:rsidR="005D75FE" w:rsidRPr="005C429C">
        <w:rPr>
          <w:rFonts w:ascii="Times New Roman" w:hAnsi="Times New Roman" w:cs="Times New Roman"/>
        </w:rPr>
        <w:t xml:space="preserve">for CDR-SOB </w:t>
      </w:r>
      <w:r w:rsidR="00AD19E8" w:rsidRPr="005C429C">
        <w:rPr>
          <w:rFonts w:ascii="Times New Roman" w:hAnsi="Times New Roman" w:cs="Times New Roman"/>
        </w:rPr>
        <w:t xml:space="preserve">using the hierarchical models. The full exchangeability model demonstrated good coverage in terms of all predicted intervals including the observed effect estimates on CDR-SOB. The average absolute difference between the observed and predicted effect estimates was 0.32, and the average ratio of the width of intervals between the predicted and observed treatment effect was 2.49. A forest plot showing the observed effects and predicted effects of CDR-SOB for each study are presented in </w:t>
      </w:r>
      <w:r w:rsidR="00BC3A1A" w:rsidRPr="005C429C">
        <w:rPr>
          <w:rFonts w:ascii="Times New Roman" w:hAnsi="Times New Roman" w:cs="Times New Roman"/>
        </w:rPr>
        <w:t>Figure S</w:t>
      </w:r>
      <w:r w:rsidR="00AD19E8" w:rsidRPr="005C429C">
        <w:rPr>
          <w:rFonts w:ascii="Times New Roman" w:hAnsi="Times New Roman" w:cs="Times New Roman"/>
        </w:rPr>
        <w:t>8.</w:t>
      </w:r>
    </w:p>
    <w:p w14:paraId="6F6425D7" w14:textId="3D414B1C" w:rsidR="00823CB1" w:rsidRPr="005C429C" w:rsidRDefault="00AA059E" w:rsidP="00DB55E9">
      <w:pPr>
        <w:pStyle w:val="NormalWeb"/>
        <w:jc w:val="both"/>
      </w:pPr>
      <w:r w:rsidRPr="005C429C">
        <w:rPr>
          <w:noProof/>
        </w:rPr>
        <w:lastRenderedPageBreak/>
        <w:drawing>
          <wp:inline distT="0" distB="0" distL="0" distR="0" wp14:anchorId="3B0DBD89" wp14:editId="64278022">
            <wp:extent cx="5731510" cy="3343275"/>
            <wp:effectExtent l="0" t="0" r="2540" b="9525"/>
            <wp:docPr id="168025495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731510" cy="3343275"/>
                    </a:xfrm>
                    <a:prstGeom prst="rect">
                      <a:avLst/>
                    </a:prstGeom>
                    <a:noFill/>
                    <a:ln>
                      <a:noFill/>
                    </a:ln>
                  </pic:spPr>
                </pic:pic>
              </a:graphicData>
            </a:graphic>
          </wp:inline>
        </w:drawing>
      </w:r>
      <w:r w:rsidR="00BC3A1A" w:rsidRPr="005C429C">
        <w:rPr>
          <w:sz w:val="22"/>
          <w:szCs w:val="22"/>
        </w:rPr>
        <w:t>Figure S</w:t>
      </w:r>
      <w:r w:rsidR="00D25EFA" w:rsidRPr="005C429C">
        <w:rPr>
          <w:sz w:val="22"/>
          <w:szCs w:val="22"/>
        </w:rPr>
        <w:t>8</w:t>
      </w:r>
      <w:r w:rsidR="00823CB1" w:rsidRPr="005C429C">
        <w:rPr>
          <w:sz w:val="22"/>
          <w:szCs w:val="22"/>
        </w:rPr>
        <w:t>. Forest plot illustrating the observed treatment on Clinical Dementia Rating – Sum of Boxes (CDR-SOB) and the corresponding predicted effect on CDR-SOB using full exchangeability model.</w:t>
      </w:r>
    </w:p>
    <w:p w14:paraId="03D66753" w14:textId="77777777" w:rsidR="009D6087" w:rsidRPr="005C429C" w:rsidRDefault="009D6087" w:rsidP="00DB55E9">
      <w:pPr>
        <w:jc w:val="both"/>
        <w:rPr>
          <w:rFonts w:ascii="Times New Roman" w:hAnsi="Times New Roman" w:cs="Times New Roman"/>
        </w:rPr>
      </w:pPr>
    </w:p>
    <w:p w14:paraId="534695BF" w14:textId="77777777" w:rsidR="009D6087" w:rsidRPr="005C429C" w:rsidRDefault="009D6087" w:rsidP="00DB55E9">
      <w:pPr>
        <w:jc w:val="both"/>
        <w:rPr>
          <w:rFonts w:ascii="Times New Roman" w:hAnsi="Times New Roman" w:cs="Times New Roman"/>
          <w:sz w:val="28"/>
          <w:szCs w:val="28"/>
        </w:rPr>
      </w:pPr>
      <w:r w:rsidRPr="005C429C">
        <w:rPr>
          <w:rFonts w:ascii="Times New Roman" w:hAnsi="Times New Roman" w:cs="Times New Roman"/>
          <w:sz w:val="28"/>
          <w:szCs w:val="28"/>
        </w:rPr>
        <w:t>References</w:t>
      </w:r>
    </w:p>
    <w:p w14:paraId="526A499E" w14:textId="77777777" w:rsidR="008A4505" w:rsidRPr="005C429C" w:rsidRDefault="009D6087" w:rsidP="00DB55E9">
      <w:pPr>
        <w:pStyle w:val="Bibliography"/>
        <w:spacing w:line="240" w:lineRule="auto"/>
        <w:jc w:val="both"/>
        <w:rPr>
          <w:rFonts w:ascii="Times New Roman" w:hAnsi="Times New Roman" w:cs="Times New Roman"/>
          <w:sz w:val="20"/>
        </w:rPr>
      </w:pPr>
      <w:r w:rsidRPr="005C429C">
        <w:rPr>
          <w:rFonts w:ascii="Times New Roman" w:hAnsi="Times New Roman" w:cs="Times New Roman"/>
          <w:sz w:val="20"/>
          <w:szCs w:val="20"/>
        </w:rPr>
        <w:fldChar w:fldCharType="begin"/>
      </w:r>
      <w:r w:rsidRPr="005C429C">
        <w:rPr>
          <w:rFonts w:ascii="Times New Roman" w:hAnsi="Times New Roman" w:cs="Times New Roman"/>
          <w:sz w:val="20"/>
          <w:szCs w:val="20"/>
        </w:rPr>
        <w:instrText xml:space="preserve"> ADDIN ZOTERO_BIBL {"uncited":[],"omitted":[],"custom":[]} CSL_BIBLIOGRAPHY </w:instrText>
      </w:r>
      <w:r w:rsidRPr="005C429C">
        <w:rPr>
          <w:rFonts w:ascii="Times New Roman" w:hAnsi="Times New Roman" w:cs="Times New Roman"/>
          <w:sz w:val="20"/>
          <w:szCs w:val="20"/>
        </w:rPr>
        <w:fldChar w:fldCharType="separate"/>
      </w:r>
      <w:r w:rsidR="008A4505" w:rsidRPr="005C429C">
        <w:rPr>
          <w:rFonts w:ascii="Times New Roman" w:hAnsi="Times New Roman" w:cs="Times New Roman"/>
          <w:sz w:val="20"/>
        </w:rPr>
        <w:t>1.</w:t>
      </w:r>
      <w:r w:rsidR="008A4505" w:rsidRPr="005C429C">
        <w:rPr>
          <w:rFonts w:ascii="Times New Roman" w:hAnsi="Times New Roman" w:cs="Times New Roman"/>
          <w:sz w:val="20"/>
        </w:rPr>
        <w:tab/>
        <w:t xml:space="preserve">Klunk, W. E. </w:t>
      </w:r>
      <w:r w:rsidR="008A4505" w:rsidRPr="005C429C">
        <w:rPr>
          <w:rFonts w:ascii="Times New Roman" w:hAnsi="Times New Roman" w:cs="Times New Roman"/>
          <w:i/>
          <w:iCs/>
          <w:sz w:val="20"/>
        </w:rPr>
        <w:t>et al.</w:t>
      </w:r>
      <w:r w:rsidR="008A4505" w:rsidRPr="005C429C">
        <w:rPr>
          <w:rFonts w:ascii="Times New Roman" w:hAnsi="Times New Roman" w:cs="Times New Roman"/>
          <w:sz w:val="20"/>
        </w:rPr>
        <w:t xml:space="preserve"> The Centiloid Project: Standardizing quantitative amyloid plaque estimation by PET. </w:t>
      </w:r>
      <w:r w:rsidR="008A4505" w:rsidRPr="005C429C">
        <w:rPr>
          <w:rFonts w:ascii="Times New Roman" w:hAnsi="Times New Roman" w:cs="Times New Roman"/>
          <w:i/>
          <w:iCs/>
          <w:sz w:val="20"/>
        </w:rPr>
        <w:t>Alzheimer’s &amp; Dementia</w:t>
      </w:r>
      <w:r w:rsidR="008A4505" w:rsidRPr="005C429C">
        <w:rPr>
          <w:rFonts w:ascii="Times New Roman" w:hAnsi="Times New Roman" w:cs="Times New Roman"/>
          <w:sz w:val="20"/>
        </w:rPr>
        <w:t xml:space="preserve"> 11, 1-15.e4 (2015).</w:t>
      </w:r>
    </w:p>
    <w:p w14:paraId="52971EF8" w14:textId="77777777" w:rsidR="008A4505" w:rsidRPr="005C429C" w:rsidRDefault="008A4505" w:rsidP="00DB55E9">
      <w:pPr>
        <w:pStyle w:val="Bibliography"/>
        <w:spacing w:line="240" w:lineRule="auto"/>
        <w:jc w:val="both"/>
        <w:rPr>
          <w:rFonts w:ascii="Times New Roman" w:hAnsi="Times New Roman" w:cs="Times New Roman"/>
          <w:sz w:val="20"/>
        </w:rPr>
      </w:pPr>
      <w:r w:rsidRPr="005C429C">
        <w:rPr>
          <w:rFonts w:ascii="Times New Roman" w:hAnsi="Times New Roman" w:cs="Times New Roman"/>
          <w:sz w:val="20"/>
        </w:rPr>
        <w:t>2.</w:t>
      </w:r>
      <w:r w:rsidRPr="005C429C">
        <w:rPr>
          <w:rFonts w:ascii="Times New Roman" w:hAnsi="Times New Roman" w:cs="Times New Roman"/>
          <w:sz w:val="20"/>
        </w:rPr>
        <w:tab/>
        <w:t xml:space="preserve">Navitsky, M. </w:t>
      </w:r>
      <w:r w:rsidRPr="005C429C">
        <w:rPr>
          <w:rFonts w:ascii="Times New Roman" w:hAnsi="Times New Roman" w:cs="Times New Roman"/>
          <w:i/>
          <w:iCs/>
          <w:sz w:val="20"/>
        </w:rPr>
        <w:t>et al.</w:t>
      </w:r>
      <w:r w:rsidRPr="005C429C">
        <w:rPr>
          <w:rFonts w:ascii="Times New Roman" w:hAnsi="Times New Roman" w:cs="Times New Roman"/>
          <w:sz w:val="20"/>
        </w:rPr>
        <w:t xml:space="preserve"> Standardization of amyloid quantitation with florbetapir standardized uptake value ratios to the Centiloid scale. </w:t>
      </w:r>
      <w:r w:rsidRPr="005C429C">
        <w:rPr>
          <w:rFonts w:ascii="Times New Roman" w:hAnsi="Times New Roman" w:cs="Times New Roman"/>
          <w:i/>
          <w:iCs/>
          <w:sz w:val="20"/>
        </w:rPr>
        <w:t>Alzheimer’s &amp; Dementia</w:t>
      </w:r>
      <w:r w:rsidRPr="005C429C">
        <w:rPr>
          <w:rFonts w:ascii="Times New Roman" w:hAnsi="Times New Roman" w:cs="Times New Roman"/>
          <w:sz w:val="20"/>
        </w:rPr>
        <w:t xml:space="preserve"> 14, 1565–1571 (2018).</w:t>
      </w:r>
    </w:p>
    <w:p w14:paraId="0A8BF181" w14:textId="77777777" w:rsidR="008A4505" w:rsidRPr="005C429C" w:rsidRDefault="008A4505" w:rsidP="00DB55E9">
      <w:pPr>
        <w:pStyle w:val="Bibliography"/>
        <w:spacing w:line="240" w:lineRule="auto"/>
        <w:jc w:val="both"/>
        <w:rPr>
          <w:rFonts w:ascii="Times New Roman" w:hAnsi="Times New Roman" w:cs="Times New Roman"/>
          <w:sz w:val="20"/>
        </w:rPr>
      </w:pPr>
      <w:r w:rsidRPr="005C429C">
        <w:rPr>
          <w:rFonts w:ascii="Times New Roman" w:hAnsi="Times New Roman" w:cs="Times New Roman"/>
          <w:sz w:val="20"/>
        </w:rPr>
        <w:t>3.</w:t>
      </w:r>
      <w:r w:rsidRPr="005C429C">
        <w:rPr>
          <w:rFonts w:ascii="Times New Roman" w:hAnsi="Times New Roman" w:cs="Times New Roman"/>
          <w:sz w:val="20"/>
        </w:rPr>
        <w:tab/>
        <w:t xml:space="preserve">Rowe, C. C. </w:t>
      </w:r>
      <w:r w:rsidRPr="005C429C">
        <w:rPr>
          <w:rFonts w:ascii="Times New Roman" w:hAnsi="Times New Roman" w:cs="Times New Roman"/>
          <w:i/>
          <w:iCs/>
          <w:sz w:val="20"/>
        </w:rPr>
        <w:t>et al.</w:t>
      </w:r>
      <w:r w:rsidRPr="005C429C">
        <w:rPr>
          <w:rFonts w:ascii="Times New Roman" w:hAnsi="Times New Roman" w:cs="Times New Roman"/>
          <w:sz w:val="20"/>
        </w:rPr>
        <w:t xml:space="preserve"> 18F-Florbetaben PET beta-amyloid binding expressed in Centiloids. </w:t>
      </w:r>
      <w:r w:rsidRPr="005C429C">
        <w:rPr>
          <w:rFonts w:ascii="Times New Roman" w:hAnsi="Times New Roman" w:cs="Times New Roman"/>
          <w:i/>
          <w:iCs/>
          <w:sz w:val="20"/>
        </w:rPr>
        <w:t>Eur J Nucl Med Mol Imaging</w:t>
      </w:r>
      <w:r w:rsidRPr="005C429C">
        <w:rPr>
          <w:rFonts w:ascii="Times New Roman" w:hAnsi="Times New Roman" w:cs="Times New Roman"/>
          <w:sz w:val="20"/>
        </w:rPr>
        <w:t xml:space="preserve"> 44, 2053–2059 (2017).</w:t>
      </w:r>
    </w:p>
    <w:p w14:paraId="35BC9A6F" w14:textId="77777777" w:rsidR="008A4505" w:rsidRPr="005C429C" w:rsidRDefault="008A4505" w:rsidP="00DB55E9">
      <w:pPr>
        <w:pStyle w:val="Bibliography"/>
        <w:spacing w:line="240" w:lineRule="auto"/>
        <w:jc w:val="both"/>
        <w:rPr>
          <w:rFonts w:ascii="Times New Roman" w:hAnsi="Times New Roman" w:cs="Times New Roman"/>
          <w:sz w:val="20"/>
        </w:rPr>
      </w:pPr>
      <w:r w:rsidRPr="005C429C">
        <w:rPr>
          <w:rFonts w:ascii="Times New Roman" w:hAnsi="Times New Roman" w:cs="Times New Roman"/>
          <w:sz w:val="20"/>
        </w:rPr>
        <w:t>4.</w:t>
      </w:r>
      <w:r w:rsidRPr="005C429C">
        <w:rPr>
          <w:rFonts w:ascii="Times New Roman" w:hAnsi="Times New Roman" w:cs="Times New Roman"/>
          <w:sz w:val="20"/>
        </w:rPr>
        <w:tab/>
        <w:t xml:space="preserve">Hanseeuw, B. J. </w:t>
      </w:r>
      <w:r w:rsidRPr="005C429C">
        <w:rPr>
          <w:rFonts w:ascii="Times New Roman" w:hAnsi="Times New Roman" w:cs="Times New Roman"/>
          <w:i/>
          <w:iCs/>
          <w:sz w:val="20"/>
        </w:rPr>
        <w:t>et al.</w:t>
      </w:r>
      <w:r w:rsidRPr="005C429C">
        <w:rPr>
          <w:rFonts w:ascii="Times New Roman" w:hAnsi="Times New Roman" w:cs="Times New Roman"/>
          <w:sz w:val="20"/>
        </w:rPr>
        <w:t xml:space="preserve"> Defining a Centiloid scale threshold predicting long-term progression to dementia in patients attending the memory clinic: an [18F] flutemetamol amyloid PET study. </w:t>
      </w:r>
      <w:r w:rsidRPr="005C429C">
        <w:rPr>
          <w:rFonts w:ascii="Times New Roman" w:hAnsi="Times New Roman" w:cs="Times New Roman"/>
          <w:i/>
          <w:iCs/>
          <w:sz w:val="20"/>
        </w:rPr>
        <w:t>Eur J Nucl Med Mol Imaging</w:t>
      </w:r>
      <w:r w:rsidRPr="005C429C">
        <w:rPr>
          <w:rFonts w:ascii="Times New Roman" w:hAnsi="Times New Roman" w:cs="Times New Roman"/>
          <w:sz w:val="20"/>
        </w:rPr>
        <w:t xml:space="preserve"> 48, 302–310 (2021).</w:t>
      </w:r>
    </w:p>
    <w:p w14:paraId="1F7D737C" w14:textId="77777777" w:rsidR="008A4505" w:rsidRPr="005C429C" w:rsidRDefault="008A4505" w:rsidP="00DB55E9">
      <w:pPr>
        <w:pStyle w:val="Bibliography"/>
        <w:spacing w:line="240" w:lineRule="auto"/>
        <w:jc w:val="both"/>
        <w:rPr>
          <w:rFonts w:ascii="Times New Roman" w:hAnsi="Times New Roman" w:cs="Times New Roman"/>
          <w:sz w:val="20"/>
        </w:rPr>
      </w:pPr>
      <w:r w:rsidRPr="005C429C">
        <w:rPr>
          <w:rFonts w:ascii="Times New Roman" w:hAnsi="Times New Roman" w:cs="Times New Roman"/>
          <w:sz w:val="20"/>
        </w:rPr>
        <w:t>5.</w:t>
      </w:r>
      <w:r w:rsidRPr="005C429C">
        <w:rPr>
          <w:rFonts w:ascii="Times New Roman" w:hAnsi="Times New Roman" w:cs="Times New Roman"/>
          <w:sz w:val="20"/>
        </w:rPr>
        <w:tab/>
        <w:t xml:space="preserve">Avgerinos, K. I., Ferrucci, L. &amp; Kapogiannis, D. Effects of monoclonal antibodies against amyloid-β on clinical and biomarker outcomes and adverse event risks: A systematic review and meta-analysis of phase III RCTs in Alzheimer’s disease. </w:t>
      </w:r>
      <w:r w:rsidRPr="005C429C">
        <w:rPr>
          <w:rFonts w:ascii="Times New Roman" w:hAnsi="Times New Roman" w:cs="Times New Roman"/>
          <w:i/>
          <w:iCs/>
          <w:sz w:val="20"/>
        </w:rPr>
        <w:t>Ageing Res Rev</w:t>
      </w:r>
      <w:r w:rsidRPr="005C429C">
        <w:rPr>
          <w:rFonts w:ascii="Times New Roman" w:hAnsi="Times New Roman" w:cs="Times New Roman"/>
          <w:sz w:val="20"/>
        </w:rPr>
        <w:t xml:space="preserve"> 68, 101339 (2021).</w:t>
      </w:r>
    </w:p>
    <w:p w14:paraId="2AC429C0" w14:textId="77777777" w:rsidR="008A4505" w:rsidRPr="005C429C" w:rsidRDefault="008A4505" w:rsidP="00DB55E9">
      <w:pPr>
        <w:pStyle w:val="Bibliography"/>
        <w:spacing w:line="240" w:lineRule="auto"/>
        <w:jc w:val="both"/>
        <w:rPr>
          <w:rFonts w:ascii="Times New Roman" w:hAnsi="Times New Roman" w:cs="Times New Roman"/>
          <w:sz w:val="20"/>
        </w:rPr>
      </w:pPr>
      <w:r w:rsidRPr="005C429C">
        <w:rPr>
          <w:rFonts w:ascii="Times New Roman" w:hAnsi="Times New Roman" w:cs="Times New Roman"/>
          <w:sz w:val="20"/>
        </w:rPr>
        <w:t>6.</w:t>
      </w:r>
      <w:r w:rsidRPr="005C429C">
        <w:rPr>
          <w:rFonts w:ascii="Times New Roman" w:hAnsi="Times New Roman" w:cs="Times New Roman"/>
          <w:sz w:val="20"/>
        </w:rPr>
        <w:tab/>
        <w:t xml:space="preserve">Lacorte, E. </w:t>
      </w:r>
      <w:r w:rsidRPr="005C429C">
        <w:rPr>
          <w:rFonts w:ascii="Times New Roman" w:hAnsi="Times New Roman" w:cs="Times New Roman"/>
          <w:i/>
          <w:iCs/>
          <w:sz w:val="20"/>
        </w:rPr>
        <w:t>et al.</w:t>
      </w:r>
      <w:r w:rsidRPr="005C429C">
        <w:rPr>
          <w:rFonts w:ascii="Times New Roman" w:hAnsi="Times New Roman" w:cs="Times New Roman"/>
          <w:sz w:val="20"/>
        </w:rPr>
        <w:t xml:space="preserve"> Safety and Efficacy of Monoclonal Antibodies for Alzheimer’s Disease: A Systematic Review and Meta-Analysis of Published and Unpublished Clinical Trials. </w:t>
      </w:r>
      <w:r w:rsidRPr="005C429C">
        <w:rPr>
          <w:rFonts w:ascii="Times New Roman" w:hAnsi="Times New Roman" w:cs="Times New Roman"/>
          <w:i/>
          <w:iCs/>
          <w:sz w:val="20"/>
        </w:rPr>
        <w:t>J Alzheimers Dis</w:t>
      </w:r>
      <w:r w:rsidRPr="005C429C">
        <w:rPr>
          <w:rFonts w:ascii="Times New Roman" w:hAnsi="Times New Roman" w:cs="Times New Roman"/>
          <w:sz w:val="20"/>
        </w:rPr>
        <w:t xml:space="preserve"> 87, 101–129 (2022).</w:t>
      </w:r>
    </w:p>
    <w:p w14:paraId="42826C16" w14:textId="77777777" w:rsidR="008A4505" w:rsidRPr="005C429C" w:rsidRDefault="008A4505" w:rsidP="00DB55E9">
      <w:pPr>
        <w:pStyle w:val="Bibliography"/>
        <w:spacing w:line="240" w:lineRule="auto"/>
        <w:jc w:val="both"/>
        <w:rPr>
          <w:rFonts w:ascii="Times New Roman" w:hAnsi="Times New Roman" w:cs="Times New Roman"/>
          <w:sz w:val="20"/>
        </w:rPr>
      </w:pPr>
      <w:r w:rsidRPr="005C429C">
        <w:rPr>
          <w:rFonts w:ascii="Times New Roman" w:hAnsi="Times New Roman" w:cs="Times New Roman"/>
          <w:sz w:val="20"/>
        </w:rPr>
        <w:t>7.</w:t>
      </w:r>
      <w:r w:rsidRPr="005C429C">
        <w:rPr>
          <w:rFonts w:ascii="Times New Roman" w:hAnsi="Times New Roman" w:cs="Times New Roman"/>
          <w:sz w:val="20"/>
        </w:rPr>
        <w:tab/>
        <w:t xml:space="preserve">Lyu, D., Lyu, X., Huang, L. &amp; Fang, B. Effects of three kinds of anti-amyloid-β drugs on clinical, biomarker, neuroimaging outcomes and safety indexes: A systematic review and meta-analysis of phase II/III clinical trials in Alzheimer’s disease. </w:t>
      </w:r>
      <w:r w:rsidRPr="005C429C">
        <w:rPr>
          <w:rFonts w:ascii="Times New Roman" w:hAnsi="Times New Roman" w:cs="Times New Roman"/>
          <w:i/>
          <w:iCs/>
          <w:sz w:val="20"/>
        </w:rPr>
        <w:t>Ageing Research Reviews</w:t>
      </w:r>
      <w:r w:rsidRPr="005C429C">
        <w:rPr>
          <w:rFonts w:ascii="Times New Roman" w:hAnsi="Times New Roman" w:cs="Times New Roman"/>
          <w:sz w:val="20"/>
        </w:rPr>
        <w:t xml:space="preserve"> 88, 101959 (2023).</w:t>
      </w:r>
    </w:p>
    <w:p w14:paraId="207970D2" w14:textId="77777777" w:rsidR="008A4505" w:rsidRPr="005C429C" w:rsidRDefault="008A4505" w:rsidP="00DB55E9">
      <w:pPr>
        <w:pStyle w:val="Bibliography"/>
        <w:spacing w:line="240" w:lineRule="auto"/>
        <w:jc w:val="both"/>
        <w:rPr>
          <w:rFonts w:ascii="Times New Roman" w:hAnsi="Times New Roman" w:cs="Times New Roman"/>
          <w:sz w:val="20"/>
        </w:rPr>
      </w:pPr>
      <w:r w:rsidRPr="005C429C">
        <w:rPr>
          <w:rFonts w:ascii="Times New Roman" w:hAnsi="Times New Roman" w:cs="Times New Roman"/>
          <w:sz w:val="20"/>
        </w:rPr>
        <w:t>8.</w:t>
      </w:r>
      <w:r w:rsidRPr="005C429C">
        <w:rPr>
          <w:rFonts w:ascii="Times New Roman" w:hAnsi="Times New Roman" w:cs="Times New Roman"/>
          <w:sz w:val="20"/>
        </w:rPr>
        <w:tab/>
        <w:t xml:space="preserve">Jeremic, D., Navarro-López, J. D. &amp; Jiménez-Díaz, L. Efficacy and safety of anti-amyloid-β monoclonal antibodies in current Alzheimer’s disease phase III clinical trials: A systematic review and interactive web app-based meta-analysis. </w:t>
      </w:r>
      <w:r w:rsidRPr="005C429C">
        <w:rPr>
          <w:rFonts w:ascii="Times New Roman" w:hAnsi="Times New Roman" w:cs="Times New Roman"/>
          <w:i/>
          <w:iCs/>
          <w:sz w:val="20"/>
        </w:rPr>
        <w:t>Ageing Res Rev</w:t>
      </w:r>
      <w:r w:rsidRPr="005C429C">
        <w:rPr>
          <w:rFonts w:ascii="Times New Roman" w:hAnsi="Times New Roman" w:cs="Times New Roman"/>
          <w:sz w:val="20"/>
        </w:rPr>
        <w:t xml:space="preserve"> 90, 102012 (2023).</w:t>
      </w:r>
    </w:p>
    <w:p w14:paraId="6DE9E02F" w14:textId="77777777" w:rsidR="008A4505" w:rsidRPr="005C429C" w:rsidRDefault="008A4505" w:rsidP="00DB55E9">
      <w:pPr>
        <w:pStyle w:val="Bibliography"/>
        <w:spacing w:line="240" w:lineRule="auto"/>
        <w:jc w:val="both"/>
        <w:rPr>
          <w:rFonts w:ascii="Times New Roman" w:hAnsi="Times New Roman" w:cs="Times New Roman"/>
          <w:sz w:val="20"/>
        </w:rPr>
      </w:pPr>
      <w:r w:rsidRPr="005C429C">
        <w:rPr>
          <w:rFonts w:ascii="Times New Roman" w:hAnsi="Times New Roman" w:cs="Times New Roman"/>
          <w:sz w:val="20"/>
        </w:rPr>
        <w:t>9.</w:t>
      </w:r>
      <w:r w:rsidRPr="005C429C">
        <w:rPr>
          <w:rFonts w:ascii="Times New Roman" w:hAnsi="Times New Roman" w:cs="Times New Roman"/>
          <w:sz w:val="20"/>
        </w:rPr>
        <w:tab/>
        <w:t xml:space="preserve">Richard, E., den Brok, M. G. H. E. &amp; van Gool, W. A. Bayes analysis supports null hypothesis of anti-amyloid beta therapy in Alzheimer’s disease. </w:t>
      </w:r>
      <w:r w:rsidRPr="005C429C">
        <w:rPr>
          <w:rFonts w:ascii="Times New Roman" w:hAnsi="Times New Roman" w:cs="Times New Roman"/>
          <w:i/>
          <w:iCs/>
          <w:sz w:val="20"/>
        </w:rPr>
        <w:t>Alzheimers Dement</w:t>
      </w:r>
      <w:r w:rsidRPr="005C429C">
        <w:rPr>
          <w:rFonts w:ascii="Times New Roman" w:hAnsi="Times New Roman" w:cs="Times New Roman"/>
          <w:sz w:val="20"/>
        </w:rPr>
        <w:t xml:space="preserve"> 17, 1051–1055 (2021).</w:t>
      </w:r>
    </w:p>
    <w:p w14:paraId="404A583F" w14:textId="77777777" w:rsidR="008A4505" w:rsidRPr="005C429C" w:rsidRDefault="008A4505" w:rsidP="00DB55E9">
      <w:pPr>
        <w:pStyle w:val="Bibliography"/>
        <w:spacing w:line="240" w:lineRule="auto"/>
        <w:jc w:val="both"/>
        <w:rPr>
          <w:rFonts w:ascii="Times New Roman" w:hAnsi="Times New Roman" w:cs="Times New Roman"/>
          <w:sz w:val="20"/>
        </w:rPr>
      </w:pPr>
      <w:r w:rsidRPr="005C429C">
        <w:rPr>
          <w:rFonts w:ascii="Times New Roman" w:hAnsi="Times New Roman" w:cs="Times New Roman"/>
          <w:sz w:val="20"/>
        </w:rPr>
        <w:t>10.</w:t>
      </w:r>
      <w:r w:rsidRPr="005C429C">
        <w:rPr>
          <w:rFonts w:ascii="Times New Roman" w:hAnsi="Times New Roman" w:cs="Times New Roman"/>
          <w:sz w:val="20"/>
        </w:rPr>
        <w:tab/>
        <w:t xml:space="preserve">Fernandez, P. E. L. &amp; Silva, G. D. Cognitive outcomes of anti-amyloid-β monoclonal antibodies in patients with Alzheimer’s disease: A systematic review and meta-analysis of randomized controlled trials. </w:t>
      </w:r>
      <w:r w:rsidRPr="005C429C">
        <w:rPr>
          <w:rFonts w:ascii="Times New Roman" w:hAnsi="Times New Roman" w:cs="Times New Roman"/>
          <w:i/>
          <w:iCs/>
          <w:sz w:val="20"/>
        </w:rPr>
        <w:t>Alzheimer’s &amp; Dementia</w:t>
      </w:r>
      <w:r w:rsidRPr="005C429C">
        <w:rPr>
          <w:rFonts w:ascii="Times New Roman" w:hAnsi="Times New Roman" w:cs="Times New Roman"/>
          <w:sz w:val="20"/>
        </w:rPr>
        <w:t xml:space="preserve"> 17, e057778 (2021).</w:t>
      </w:r>
    </w:p>
    <w:p w14:paraId="7F283563" w14:textId="77777777" w:rsidR="008A4505" w:rsidRPr="005C429C" w:rsidRDefault="008A4505" w:rsidP="00DB55E9">
      <w:pPr>
        <w:pStyle w:val="Bibliography"/>
        <w:spacing w:line="240" w:lineRule="auto"/>
        <w:jc w:val="both"/>
        <w:rPr>
          <w:rFonts w:ascii="Times New Roman" w:hAnsi="Times New Roman" w:cs="Times New Roman"/>
          <w:sz w:val="20"/>
        </w:rPr>
      </w:pPr>
      <w:r w:rsidRPr="005C429C">
        <w:rPr>
          <w:rFonts w:ascii="Times New Roman" w:hAnsi="Times New Roman" w:cs="Times New Roman"/>
          <w:sz w:val="20"/>
        </w:rPr>
        <w:t>11.</w:t>
      </w:r>
      <w:r w:rsidRPr="005C429C">
        <w:rPr>
          <w:rFonts w:ascii="Times New Roman" w:hAnsi="Times New Roman" w:cs="Times New Roman"/>
          <w:sz w:val="20"/>
        </w:rPr>
        <w:tab/>
        <w:t xml:space="preserve">Villain, N., Planche, V. &amp; Levy, R. High-clearance anti-amyloid immunotherapies in Alzheimer’s disease. Part 1: Meta-analysis and review of efficacy and safety data, and medico-economical aspects. </w:t>
      </w:r>
      <w:r w:rsidRPr="005C429C">
        <w:rPr>
          <w:rFonts w:ascii="Times New Roman" w:hAnsi="Times New Roman" w:cs="Times New Roman"/>
          <w:i/>
          <w:iCs/>
          <w:sz w:val="20"/>
        </w:rPr>
        <w:t>Rev Neurol (Paris)</w:t>
      </w:r>
      <w:r w:rsidRPr="005C429C">
        <w:rPr>
          <w:rFonts w:ascii="Times New Roman" w:hAnsi="Times New Roman" w:cs="Times New Roman"/>
          <w:sz w:val="20"/>
        </w:rPr>
        <w:t xml:space="preserve"> 178, 1011–1030 (2022).</w:t>
      </w:r>
    </w:p>
    <w:p w14:paraId="44950243" w14:textId="77777777" w:rsidR="008A4505" w:rsidRPr="005C429C" w:rsidRDefault="008A4505" w:rsidP="00DB55E9">
      <w:pPr>
        <w:pStyle w:val="Bibliography"/>
        <w:spacing w:line="240" w:lineRule="auto"/>
        <w:jc w:val="both"/>
        <w:rPr>
          <w:rFonts w:ascii="Times New Roman" w:hAnsi="Times New Roman" w:cs="Times New Roman"/>
          <w:sz w:val="20"/>
        </w:rPr>
      </w:pPr>
      <w:r w:rsidRPr="005C429C">
        <w:rPr>
          <w:rFonts w:ascii="Times New Roman" w:hAnsi="Times New Roman" w:cs="Times New Roman"/>
          <w:sz w:val="20"/>
        </w:rPr>
        <w:lastRenderedPageBreak/>
        <w:t>12.</w:t>
      </w:r>
      <w:r w:rsidRPr="005C429C">
        <w:rPr>
          <w:rFonts w:ascii="Times New Roman" w:hAnsi="Times New Roman" w:cs="Times New Roman"/>
          <w:sz w:val="20"/>
        </w:rPr>
        <w:tab/>
        <w:t xml:space="preserve">Teipel, S. J., Temp, A. G. M. &amp; Lutz, M. W. Bayesian meta-analysis of phase 3 results of aducanumab, lecanemab, donanemab, and high-dose gantenerumab in prodromal and mild Alzheimer’s disease. </w:t>
      </w:r>
      <w:r w:rsidRPr="005C429C">
        <w:rPr>
          <w:rFonts w:ascii="Times New Roman" w:hAnsi="Times New Roman" w:cs="Times New Roman"/>
          <w:i/>
          <w:iCs/>
          <w:sz w:val="20"/>
        </w:rPr>
        <w:t>Alzheimers Dement (N Y)</w:t>
      </w:r>
      <w:r w:rsidRPr="005C429C">
        <w:rPr>
          <w:rFonts w:ascii="Times New Roman" w:hAnsi="Times New Roman" w:cs="Times New Roman"/>
          <w:sz w:val="20"/>
        </w:rPr>
        <w:t xml:space="preserve"> 10, e12454 (2024).</w:t>
      </w:r>
    </w:p>
    <w:p w14:paraId="00B470A8" w14:textId="16AE2FB0" w:rsidR="00BB7746" w:rsidRPr="005C429C" w:rsidRDefault="008A4505" w:rsidP="00DB55E9">
      <w:pPr>
        <w:pStyle w:val="Bibliography"/>
        <w:spacing w:line="240" w:lineRule="auto"/>
        <w:jc w:val="both"/>
        <w:rPr>
          <w:rFonts w:ascii="Times New Roman" w:hAnsi="Times New Roman" w:cs="Times New Roman"/>
        </w:rPr>
      </w:pPr>
      <w:r w:rsidRPr="005C429C">
        <w:rPr>
          <w:rFonts w:ascii="Times New Roman" w:hAnsi="Times New Roman" w:cs="Times New Roman"/>
          <w:sz w:val="20"/>
        </w:rPr>
        <w:t>13.</w:t>
      </w:r>
      <w:r w:rsidRPr="005C429C">
        <w:rPr>
          <w:rFonts w:ascii="Times New Roman" w:hAnsi="Times New Roman" w:cs="Times New Roman"/>
          <w:sz w:val="20"/>
        </w:rPr>
        <w:tab/>
        <w:t xml:space="preserve">Holdridge, K. C., Yaari, R., Hoban, D. B., Andersen, S. &amp; Sims, J. R. Targeting amyloid β in Alzheimer’s disease: Meta-analysis of low-dose solanezumab in Alzheimer’s disease with mild dementia studies. </w:t>
      </w:r>
      <w:r w:rsidRPr="005C429C">
        <w:rPr>
          <w:rFonts w:ascii="Times New Roman" w:hAnsi="Times New Roman" w:cs="Times New Roman"/>
          <w:i/>
          <w:iCs/>
          <w:sz w:val="20"/>
        </w:rPr>
        <w:t>Alzheimers Dement</w:t>
      </w:r>
      <w:r w:rsidRPr="005C429C">
        <w:rPr>
          <w:rFonts w:ascii="Times New Roman" w:hAnsi="Times New Roman" w:cs="Times New Roman"/>
          <w:sz w:val="20"/>
        </w:rPr>
        <w:t xml:space="preserve"> 19, 4619–4628 (2023).</w:t>
      </w:r>
      <w:r w:rsidR="009D6087" w:rsidRPr="005C429C">
        <w:rPr>
          <w:rFonts w:ascii="Times New Roman" w:hAnsi="Times New Roman" w:cs="Times New Roman"/>
          <w:sz w:val="20"/>
          <w:szCs w:val="20"/>
        </w:rPr>
        <w:fldChar w:fldCharType="end"/>
      </w:r>
    </w:p>
    <w:sectPr w:rsidR="00BB7746" w:rsidRPr="005C429C" w:rsidSect="00624DF1">
      <w:footerReference w:type="default" r:id="rId1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8F034A5" w14:textId="77777777" w:rsidR="00782848" w:rsidRDefault="00782848" w:rsidP="00835749">
      <w:pPr>
        <w:spacing w:after="0" w:line="240" w:lineRule="auto"/>
      </w:pPr>
      <w:r>
        <w:separator/>
      </w:r>
    </w:p>
  </w:endnote>
  <w:endnote w:type="continuationSeparator" w:id="0">
    <w:p w14:paraId="186862BA" w14:textId="77777777" w:rsidR="00782848" w:rsidRDefault="00782848" w:rsidP="008357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DengXian Light">
    <w:altName w:val="等线 Light"/>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10722416"/>
      <w:docPartObj>
        <w:docPartGallery w:val="Page Numbers (Bottom of Page)"/>
        <w:docPartUnique/>
      </w:docPartObj>
    </w:sdtPr>
    <w:sdtEndPr>
      <w:rPr>
        <w:noProof/>
      </w:rPr>
    </w:sdtEndPr>
    <w:sdtContent>
      <w:p w14:paraId="7F4E67E4" w14:textId="29FBD05D" w:rsidR="00835749" w:rsidRDefault="00835749">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2C276E08" w14:textId="77777777" w:rsidR="00835749" w:rsidRDefault="0083574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CD11E54" w14:textId="77777777" w:rsidR="00782848" w:rsidRDefault="00782848" w:rsidP="00835749">
      <w:pPr>
        <w:spacing w:after="0" w:line="240" w:lineRule="auto"/>
      </w:pPr>
      <w:r>
        <w:separator/>
      </w:r>
    </w:p>
  </w:footnote>
  <w:footnote w:type="continuationSeparator" w:id="0">
    <w:p w14:paraId="084A2390" w14:textId="77777777" w:rsidR="00782848" w:rsidRDefault="00782848" w:rsidP="00835749">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2693E"/>
    <w:rsid w:val="000068EE"/>
    <w:rsid w:val="00013BA0"/>
    <w:rsid w:val="00023DAC"/>
    <w:rsid w:val="0006651C"/>
    <w:rsid w:val="00072ACA"/>
    <w:rsid w:val="000E15EC"/>
    <w:rsid w:val="000F7570"/>
    <w:rsid w:val="0013617E"/>
    <w:rsid w:val="001418A3"/>
    <w:rsid w:val="00145129"/>
    <w:rsid w:val="00167D5D"/>
    <w:rsid w:val="00183BFD"/>
    <w:rsid w:val="001853C6"/>
    <w:rsid w:val="001C55E9"/>
    <w:rsid w:val="001D0BFA"/>
    <w:rsid w:val="001D328A"/>
    <w:rsid w:val="001F45A5"/>
    <w:rsid w:val="001F62D1"/>
    <w:rsid w:val="002074AC"/>
    <w:rsid w:val="00215419"/>
    <w:rsid w:val="00215521"/>
    <w:rsid w:val="0022040F"/>
    <w:rsid w:val="00223AD4"/>
    <w:rsid w:val="00231B86"/>
    <w:rsid w:val="00236786"/>
    <w:rsid w:val="00241C9A"/>
    <w:rsid w:val="00262C12"/>
    <w:rsid w:val="00292417"/>
    <w:rsid w:val="002A0A20"/>
    <w:rsid w:val="002A2B26"/>
    <w:rsid w:val="002C4223"/>
    <w:rsid w:val="002E2A0B"/>
    <w:rsid w:val="003428ED"/>
    <w:rsid w:val="00350386"/>
    <w:rsid w:val="003B0AA3"/>
    <w:rsid w:val="003D2C5F"/>
    <w:rsid w:val="003D5157"/>
    <w:rsid w:val="00404F4A"/>
    <w:rsid w:val="0042380E"/>
    <w:rsid w:val="004445D1"/>
    <w:rsid w:val="0049794E"/>
    <w:rsid w:val="004D7988"/>
    <w:rsid w:val="0051143E"/>
    <w:rsid w:val="0052693E"/>
    <w:rsid w:val="00531622"/>
    <w:rsid w:val="005339FE"/>
    <w:rsid w:val="00551B4E"/>
    <w:rsid w:val="005534A7"/>
    <w:rsid w:val="005C429C"/>
    <w:rsid w:val="005D75FE"/>
    <w:rsid w:val="005E4060"/>
    <w:rsid w:val="005F291B"/>
    <w:rsid w:val="005F6B8A"/>
    <w:rsid w:val="00605C74"/>
    <w:rsid w:val="00624DF1"/>
    <w:rsid w:val="0063610C"/>
    <w:rsid w:val="006524D2"/>
    <w:rsid w:val="00662F6E"/>
    <w:rsid w:val="00667171"/>
    <w:rsid w:val="006A7708"/>
    <w:rsid w:val="006E0066"/>
    <w:rsid w:val="0070105C"/>
    <w:rsid w:val="00715DE1"/>
    <w:rsid w:val="0074340B"/>
    <w:rsid w:val="00772913"/>
    <w:rsid w:val="00782848"/>
    <w:rsid w:val="007960A8"/>
    <w:rsid w:val="007C3996"/>
    <w:rsid w:val="00823CB1"/>
    <w:rsid w:val="00823F6E"/>
    <w:rsid w:val="00831090"/>
    <w:rsid w:val="00832E35"/>
    <w:rsid w:val="00835749"/>
    <w:rsid w:val="00844D4E"/>
    <w:rsid w:val="008452D9"/>
    <w:rsid w:val="008A4505"/>
    <w:rsid w:val="008B293B"/>
    <w:rsid w:val="008E4088"/>
    <w:rsid w:val="009075A0"/>
    <w:rsid w:val="00923CDD"/>
    <w:rsid w:val="00972341"/>
    <w:rsid w:val="00977114"/>
    <w:rsid w:val="009D6087"/>
    <w:rsid w:val="009E0583"/>
    <w:rsid w:val="009E3809"/>
    <w:rsid w:val="00A13436"/>
    <w:rsid w:val="00A27745"/>
    <w:rsid w:val="00A80D13"/>
    <w:rsid w:val="00AA059E"/>
    <w:rsid w:val="00AD1165"/>
    <w:rsid w:val="00AD19E8"/>
    <w:rsid w:val="00AD4C3C"/>
    <w:rsid w:val="00AD57B5"/>
    <w:rsid w:val="00AE3223"/>
    <w:rsid w:val="00AE5ED8"/>
    <w:rsid w:val="00AE656B"/>
    <w:rsid w:val="00AF598C"/>
    <w:rsid w:val="00AF7278"/>
    <w:rsid w:val="00B04945"/>
    <w:rsid w:val="00B128C7"/>
    <w:rsid w:val="00B2009F"/>
    <w:rsid w:val="00B63A86"/>
    <w:rsid w:val="00B7728A"/>
    <w:rsid w:val="00B85661"/>
    <w:rsid w:val="00B9517D"/>
    <w:rsid w:val="00BA0984"/>
    <w:rsid w:val="00BB2B5C"/>
    <w:rsid w:val="00BB7746"/>
    <w:rsid w:val="00BC1560"/>
    <w:rsid w:val="00BC3A1A"/>
    <w:rsid w:val="00BF084D"/>
    <w:rsid w:val="00BF0CF4"/>
    <w:rsid w:val="00BF3623"/>
    <w:rsid w:val="00C020CC"/>
    <w:rsid w:val="00C16F9C"/>
    <w:rsid w:val="00C55F8F"/>
    <w:rsid w:val="00C9478E"/>
    <w:rsid w:val="00CC2054"/>
    <w:rsid w:val="00CC27CC"/>
    <w:rsid w:val="00CC3D51"/>
    <w:rsid w:val="00CE7ECE"/>
    <w:rsid w:val="00CF3675"/>
    <w:rsid w:val="00D2578E"/>
    <w:rsid w:val="00D25EFA"/>
    <w:rsid w:val="00D33067"/>
    <w:rsid w:val="00D87473"/>
    <w:rsid w:val="00DB55E9"/>
    <w:rsid w:val="00DE3F7F"/>
    <w:rsid w:val="00DF5C97"/>
    <w:rsid w:val="00EF26FF"/>
    <w:rsid w:val="00F12AE1"/>
    <w:rsid w:val="00F252F9"/>
    <w:rsid w:val="00F32F89"/>
    <w:rsid w:val="00F33FDD"/>
    <w:rsid w:val="00F42E03"/>
    <w:rsid w:val="00FD60FD"/>
    <w:rsid w:val="00FE369C"/>
    <w:rsid w:val="00FE74A3"/>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2CC472"/>
  <w15:chartTrackingRefBased/>
  <w15:docId w15:val="{D6442814-6AF2-410B-BC83-98AD1B9C3E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2"/>
        <w:lang w:val="en-GB" w:eastAsia="zh-CN"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128C7"/>
  </w:style>
  <w:style w:type="paragraph" w:styleId="Heading1">
    <w:name w:val="heading 1"/>
    <w:basedOn w:val="Normal"/>
    <w:next w:val="Normal"/>
    <w:link w:val="Heading1Char"/>
    <w:uiPriority w:val="9"/>
    <w:qFormat/>
    <w:rsid w:val="00C9478E"/>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0F7570"/>
    <w:pPr>
      <w:keepNext/>
      <w:keepLines/>
      <w:spacing w:before="40" w:after="0" w:line="276" w:lineRule="auto"/>
      <w:outlineLvl w:val="1"/>
    </w:pPr>
    <w:rPr>
      <w:rFonts w:eastAsiaTheme="majorEastAsia" w:cstheme="majorBidi"/>
      <w:szCs w:val="26"/>
      <w:lang w:val="sv-SE"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0F7570"/>
    <w:rPr>
      <w:rFonts w:eastAsiaTheme="majorEastAsia" w:cstheme="majorBidi"/>
      <w:szCs w:val="26"/>
      <w:lang w:val="sv-SE" w:eastAsia="en-US"/>
    </w:rPr>
  </w:style>
  <w:style w:type="character" w:styleId="CommentReference">
    <w:name w:val="annotation reference"/>
    <w:basedOn w:val="DefaultParagraphFont"/>
    <w:uiPriority w:val="99"/>
    <w:semiHidden/>
    <w:unhideWhenUsed/>
    <w:rsid w:val="00B128C7"/>
    <w:rPr>
      <w:sz w:val="16"/>
      <w:szCs w:val="16"/>
    </w:rPr>
  </w:style>
  <w:style w:type="paragraph" w:styleId="CommentText">
    <w:name w:val="annotation text"/>
    <w:basedOn w:val="Normal"/>
    <w:link w:val="CommentTextChar"/>
    <w:uiPriority w:val="99"/>
    <w:unhideWhenUsed/>
    <w:rsid w:val="00B128C7"/>
    <w:pPr>
      <w:spacing w:line="240" w:lineRule="auto"/>
    </w:pPr>
    <w:rPr>
      <w:sz w:val="20"/>
      <w:szCs w:val="20"/>
    </w:rPr>
  </w:style>
  <w:style w:type="character" w:customStyle="1" w:styleId="CommentTextChar">
    <w:name w:val="Comment Text Char"/>
    <w:basedOn w:val="DefaultParagraphFont"/>
    <w:link w:val="CommentText"/>
    <w:uiPriority w:val="99"/>
    <w:rsid w:val="00B128C7"/>
    <w:rPr>
      <w:sz w:val="20"/>
      <w:szCs w:val="20"/>
    </w:rPr>
  </w:style>
  <w:style w:type="character" w:customStyle="1" w:styleId="Heading1Char">
    <w:name w:val="Heading 1 Char"/>
    <w:basedOn w:val="DefaultParagraphFont"/>
    <w:link w:val="Heading1"/>
    <w:uiPriority w:val="9"/>
    <w:rsid w:val="00C9478E"/>
    <w:rPr>
      <w:rFonts w:asciiTheme="majorHAnsi" w:eastAsiaTheme="majorEastAsia" w:hAnsiTheme="majorHAnsi" w:cstheme="majorBidi"/>
      <w:color w:val="2F5496" w:themeColor="accent1" w:themeShade="BF"/>
      <w:sz w:val="32"/>
      <w:szCs w:val="32"/>
    </w:rPr>
  </w:style>
  <w:style w:type="paragraph" w:styleId="CommentSubject">
    <w:name w:val="annotation subject"/>
    <w:basedOn w:val="CommentText"/>
    <w:next w:val="CommentText"/>
    <w:link w:val="CommentSubjectChar"/>
    <w:uiPriority w:val="99"/>
    <w:semiHidden/>
    <w:unhideWhenUsed/>
    <w:rsid w:val="00215419"/>
    <w:rPr>
      <w:b/>
      <w:bCs/>
    </w:rPr>
  </w:style>
  <w:style w:type="character" w:customStyle="1" w:styleId="CommentSubjectChar">
    <w:name w:val="Comment Subject Char"/>
    <w:basedOn w:val="CommentTextChar"/>
    <w:link w:val="CommentSubject"/>
    <w:uiPriority w:val="99"/>
    <w:semiHidden/>
    <w:rsid w:val="00215419"/>
    <w:rPr>
      <w:b/>
      <w:bCs/>
      <w:sz w:val="20"/>
      <w:szCs w:val="20"/>
    </w:rPr>
  </w:style>
  <w:style w:type="paragraph" w:styleId="NormalWeb">
    <w:name w:val="Normal (Web)"/>
    <w:basedOn w:val="Normal"/>
    <w:uiPriority w:val="99"/>
    <w:unhideWhenUsed/>
    <w:rsid w:val="003D2C5F"/>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paragraph" w:styleId="Revision">
    <w:name w:val="Revision"/>
    <w:hidden/>
    <w:uiPriority w:val="99"/>
    <w:semiHidden/>
    <w:rsid w:val="006E0066"/>
    <w:pPr>
      <w:spacing w:after="0" w:line="240" w:lineRule="auto"/>
    </w:pPr>
  </w:style>
  <w:style w:type="paragraph" w:styleId="Bibliography">
    <w:name w:val="Bibliography"/>
    <w:basedOn w:val="Normal"/>
    <w:next w:val="Normal"/>
    <w:uiPriority w:val="37"/>
    <w:unhideWhenUsed/>
    <w:rsid w:val="009D6087"/>
    <w:pPr>
      <w:tabs>
        <w:tab w:val="left" w:pos="384"/>
      </w:tabs>
      <w:spacing w:after="0" w:line="480" w:lineRule="auto"/>
      <w:ind w:left="384" w:hanging="384"/>
    </w:pPr>
  </w:style>
  <w:style w:type="paragraph" w:styleId="Header">
    <w:name w:val="header"/>
    <w:basedOn w:val="Normal"/>
    <w:link w:val="HeaderChar"/>
    <w:uiPriority w:val="99"/>
    <w:unhideWhenUsed/>
    <w:rsid w:val="00835749"/>
    <w:pPr>
      <w:tabs>
        <w:tab w:val="center" w:pos="4513"/>
        <w:tab w:val="right" w:pos="9026"/>
      </w:tabs>
      <w:spacing w:after="0" w:line="240" w:lineRule="auto"/>
    </w:pPr>
  </w:style>
  <w:style w:type="character" w:customStyle="1" w:styleId="HeaderChar">
    <w:name w:val="Header Char"/>
    <w:basedOn w:val="DefaultParagraphFont"/>
    <w:link w:val="Header"/>
    <w:uiPriority w:val="99"/>
    <w:rsid w:val="00835749"/>
  </w:style>
  <w:style w:type="paragraph" w:styleId="Footer">
    <w:name w:val="footer"/>
    <w:basedOn w:val="Normal"/>
    <w:link w:val="FooterChar"/>
    <w:uiPriority w:val="99"/>
    <w:unhideWhenUsed/>
    <w:rsid w:val="00835749"/>
    <w:pPr>
      <w:tabs>
        <w:tab w:val="center" w:pos="4513"/>
        <w:tab w:val="right" w:pos="9026"/>
      </w:tabs>
      <w:spacing w:after="0" w:line="240" w:lineRule="auto"/>
    </w:pPr>
  </w:style>
  <w:style w:type="character" w:customStyle="1" w:styleId="FooterChar">
    <w:name w:val="Footer Char"/>
    <w:basedOn w:val="DefaultParagraphFont"/>
    <w:link w:val="Footer"/>
    <w:uiPriority w:val="99"/>
    <w:rsid w:val="00835749"/>
  </w:style>
  <w:style w:type="table" w:styleId="TableGrid">
    <w:name w:val="Table Grid"/>
    <w:basedOn w:val="TableNormal"/>
    <w:uiPriority w:val="39"/>
    <w:rsid w:val="00B63A8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5149101">
      <w:bodyDiv w:val="1"/>
      <w:marLeft w:val="0"/>
      <w:marRight w:val="0"/>
      <w:marTop w:val="0"/>
      <w:marBottom w:val="0"/>
      <w:divBdr>
        <w:top w:val="none" w:sz="0" w:space="0" w:color="auto"/>
        <w:left w:val="none" w:sz="0" w:space="0" w:color="auto"/>
        <w:bottom w:val="none" w:sz="0" w:space="0" w:color="auto"/>
        <w:right w:val="none" w:sz="0" w:space="0" w:color="auto"/>
      </w:divBdr>
    </w:div>
    <w:div w:id="70125268">
      <w:bodyDiv w:val="1"/>
      <w:marLeft w:val="0"/>
      <w:marRight w:val="0"/>
      <w:marTop w:val="0"/>
      <w:marBottom w:val="0"/>
      <w:divBdr>
        <w:top w:val="none" w:sz="0" w:space="0" w:color="auto"/>
        <w:left w:val="none" w:sz="0" w:space="0" w:color="auto"/>
        <w:bottom w:val="none" w:sz="0" w:space="0" w:color="auto"/>
        <w:right w:val="none" w:sz="0" w:space="0" w:color="auto"/>
      </w:divBdr>
    </w:div>
    <w:div w:id="82453340">
      <w:bodyDiv w:val="1"/>
      <w:marLeft w:val="0"/>
      <w:marRight w:val="0"/>
      <w:marTop w:val="0"/>
      <w:marBottom w:val="0"/>
      <w:divBdr>
        <w:top w:val="none" w:sz="0" w:space="0" w:color="auto"/>
        <w:left w:val="none" w:sz="0" w:space="0" w:color="auto"/>
        <w:bottom w:val="none" w:sz="0" w:space="0" w:color="auto"/>
        <w:right w:val="none" w:sz="0" w:space="0" w:color="auto"/>
      </w:divBdr>
    </w:div>
    <w:div w:id="150102978">
      <w:bodyDiv w:val="1"/>
      <w:marLeft w:val="0"/>
      <w:marRight w:val="0"/>
      <w:marTop w:val="0"/>
      <w:marBottom w:val="0"/>
      <w:divBdr>
        <w:top w:val="none" w:sz="0" w:space="0" w:color="auto"/>
        <w:left w:val="none" w:sz="0" w:space="0" w:color="auto"/>
        <w:bottom w:val="none" w:sz="0" w:space="0" w:color="auto"/>
        <w:right w:val="none" w:sz="0" w:space="0" w:color="auto"/>
      </w:divBdr>
    </w:div>
    <w:div w:id="221715589">
      <w:bodyDiv w:val="1"/>
      <w:marLeft w:val="0"/>
      <w:marRight w:val="0"/>
      <w:marTop w:val="0"/>
      <w:marBottom w:val="0"/>
      <w:divBdr>
        <w:top w:val="none" w:sz="0" w:space="0" w:color="auto"/>
        <w:left w:val="none" w:sz="0" w:space="0" w:color="auto"/>
        <w:bottom w:val="none" w:sz="0" w:space="0" w:color="auto"/>
        <w:right w:val="none" w:sz="0" w:space="0" w:color="auto"/>
      </w:divBdr>
    </w:div>
    <w:div w:id="429543620">
      <w:bodyDiv w:val="1"/>
      <w:marLeft w:val="0"/>
      <w:marRight w:val="0"/>
      <w:marTop w:val="0"/>
      <w:marBottom w:val="0"/>
      <w:divBdr>
        <w:top w:val="none" w:sz="0" w:space="0" w:color="auto"/>
        <w:left w:val="none" w:sz="0" w:space="0" w:color="auto"/>
        <w:bottom w:val="none" w:sz="0" w:space="0" w:color="auto"/>
        <w:right w:val="none" w:sz="0" w:space="0" w:color="auto"/>
      </w:divBdr>
    </w:div>
    <w:div w:id="468015001">
      <w:bodyDiv w:val="1"/>
      <w:marLeft w:val="0"/>
      <w:marRight w:val="0"/>
      <w:marTop w:val="0"/>
      <w:marBottom w:val="0"/>
      <w:divBdr>
        <w:top w:val="none" w:sz="0" w:space="0" w:color="auto"/>
        <w:left w:val="none" w:sz="0" w:space="0" w:color="auto"/>
        <w:bottom w:val="none" w:sz="0" w:space="0" w:color="auto"/>
        <w:right w:val="none" w:sz="0" w:space="0" w:color="auto"/>
      </w:divBdr>
    </w:div>
    <w:div w:id="804202378">
      <w:bodyDiv w:val="1"/>
      <w:marLeft w:val="0"/>
      <w:marRight w:val="0"/>
      <w:marTop w:val="0"/>
      <w:marBottom w:val="0"/>
      <w:divBdr>
        <w:top w:val="none" w:sz="0" w:space="0" w:color="auto"/>
        <w:left w:val="none" w:sz="0" w:space="0" w:color="auto"/>
        <w:bottom w:val="none" w:sz="0" w:space="0" w:color="auto"/>
        <w:right w:val="none" w:sz="0" w:space="0" w:color="auto"/>
      </w:divBdr>
    </w:div>
    <w:div w:id="927615261">
      <w:bodyDiv w:val="1"/>
      <w:marLeft w:val="0"/>
      <w:marRight w:val="0"/>
      <w:marTop w:val="0"/>
      <w:marBottom w:val="0"/>
      <w:divBdr>
        <w:top w:val="none" w:sz="0" w:space="0" w:color="auto"/>
        <w:left w:val="none" w:sz="0" w:space="0" w:color="auto"/>
        <w:bottom w:val="none" w:sz="0" w:space="0" w:color="auto"/>
        <w:right w:val="none" w:sz="0" w:space="0" w:color="auto"/>
      </w:divBdr>
    </w:div>
    <w:div w:id="1178426057">
      <w:bodyDiv w:val="1"/>
      <w:marLeft w:val="0"/>
      <w:marRight w:val="0"/>
      <w:marTop w:val="0"/>
      <w:marBottom w:val="0"/>
      <w:divBdr>
        <w:top w:val="none" w:sz="0" w:space="0" w:color="auto"/>
        <w:left w:val="none" w:sz="0" w:space="0" w:color="auto"/>
        <w:bottom w:val="none" w:sz="0" w:space="0" w:color="auto"/>
        <w:right w:val="none" w:sz="0" w:space="0" w:color="auto"/>
      </w:divBdr>
    </w:div>
    <w:div w:id="1236629633">
      <w:bodyDiv w:val="1"/>
      <w:marLeft w:val="0"/>
      <w:marRight w:val="0"/>
      <w:marTop w:val="0"/>
      <w:marBottom w:val="0"/>
      <w:divBdr>
        <w:top w:val="none" w:sz="0" w:space="0" w:color="auto"/>
        <w:left w:val="none" w:sz="0" w:space="0" w:color="auto"/>
        <w:bottom w:val="none" w:sz="0" w:space="0" w:color="auto"/>
        <w:right w:val="none" w:sz="0" w:space="0" w:color="auto"/>
      </w:divBdr>
    </w:div>
    <w:div w:id="1384711972">
      <w:bodyDiv w:val="1"/>
      <w:marLeft w:val="0"/>
      <w:marRight w:val="0"/>
      <w:marTop w:val="0"/>
      <w:marBottom w:val="0"/>
      <w:divBdr>
        <w:top w:val="none" w:sz="0" w:space="0" w:color="auto"/>
        <w:left w:val="none" w:sz="0" w:space="0" w:color="auto"/>
        <w:bottom w:val="none" w:sz="0" w:space="0" w:color="auto"/>
        <w:right w:val="none" w:sz="0" w:space="0" w:color="auto"/>
      </w:divBdr>
    </w:div>
    <w:div w:id="1412461196">
      <w:bodyDiv w:val="1"/>
      <w:marLeft w:val="0"/>
      <w:marRight w:val="0"/>
      <w:marTop w:val="0"/>
      <w:marBottom w:val="0"/>
      <w:divBdr>
        <w:top w:val="none" w:sz="0" w:space="0" w:color="auto"/>
        <w:left w:val="none" w:sz="0" w:space="0" w:color="auto"/>
        <w:bottom w:val="none" w:sz="0" w:space="0" w:color="auto"/>
        <w:right w:val="none" w:sz="0" w:space="0" w:color="auto"/>
      </w:divBdr>
    </w:div>
    <w:div w:id="1621181804">
      <w:bodyDiv w:val="1"/>
      <w:marLeft w:val="0"/>
      <w:marRight w:val="0"/>
      <w:marTop w:val="0"/>
      <w:marBottom w:val="0"/>
      <w:divBdr>
        <w:top w:val="none" w:sz="0" w:space="0" w:color="auto"/>
        <w:left w:val="none" w:sz="0" w:space="0" w:color="auto"/>
        <w:bottom w:val="none" w:sz="0" w:space="0" w:color="auto"/>
        <w:right w:val="none" w:sz="0" w:space="0" w:color="auto"/>
      </w:divBdr>
    </w:div>
    <w:div w:id="1687321410">
      <w:bodyDiv w:val="1"/>
      <w:marLeft w:val="0"/>
      <w:marRight w:val="0"/>
      <w:marTop w:val="0"/>
      <w:marBottom w:val="0"/>
      <w:divBdr>
        <w:top w:val="none" w:sz="0" w:space="0" w:color="auto"/>
        <w:left w:val="none" w:sz="0" w:space="0" w:color="auto"/>
        <w:bottom w:val="none" w:sz="0" w:space="0" w:color="auto"/>
        <w:right w:val="none" w:sz="0" w:space="0" w:color="auto"/>
      </w:divBdr>
    </w:div>
    <w:div w:id="1696273432">
      <w:bodyDiv w:val="1"/>
      <w:marLeft w:val="0"/>
      <w:marRight w:val="0"/>
      <w:marTop w:val="0"/>
      <w:marBottom w:val="0"/>
      <w:divBdr>
        <w:top w:val="none" w:sz="0" w:space="0" w:color="auto"/>
        <w:left w:val="none" w:sz="0" w:space="0" w:color="auto"/>
        <w:bottom w:val="none" w:sz="0" w:space="0" w:color="auto"/>
        <w:right w:val="none" w:sz="0" w:space="0" w:color="auto"/>
      </w:divBdr>
    </w:div>
    <w:div w:id="1752577432">
      <w:bodyDiv w:val="1"/>
      <w:marLeft w:val="0"/>
      <w:marRight w:val="0"/>
      <w:marTop w:val="0"/>
      <w:marBottom w:val="0"/>
      <w:divBdr>
        <w:top w:val="none" w:sz="0" w:space="0" w:color="auto"/>
        <w:left w:val="none" w:sz="0" w:space="0" w:color="auto"/>
        <w:bottom w:val="none" w:sz="0" w:space="0" w:color="auto"/>
        <w:right w:val="none" w:sz="0" w:space="0" w:color="auto"/>
      </w:divBdr>
    </w:div>
    <w:div w:id="1780178205">
      <w:bodyDiv w:val="1"/>
      <w:marLeft w:val="0"/>
      <w:marRight w:val="0"/>
      <w:marTop w:val="0"/>
      <w:marBottom w:val="0"/>
      <w:divBdr>
        <w:top w:val="none" w:sz="0" w:space="0" w:color="auto"/>
        <w:left w:val="none" w:sz="0" w:space="0" w:color="auto"/>
        <w:bottom w:val="none" w:sz="0" w:space="0" w:color="auto"/>
        <w:right w:val="none" w:sz="0" w:space="0" w:color="auto"/>
      </w:divBdr>
    </w:div>
    <w:div w:id="1808741223">
      <w:bodyDiv w:val="1"/>
      <w:marLeft w:val="0"/>
      <w:marRight w:val="0"/>
      <w:marTop w:val="0"/>
      <w:marBottom w:val="0"/>
      <w:divBdr>
        <w:top w:val="none" w:sz="0" w:space="0" w:color="auto"/>
        <w:left w:val="none" w:sz="0" w:space="0" w:color="auto"/>
        <w:bottom w:val="none" w:sz="0" w:space="0" w:color="auto"/>
        <w:right w:val="none" w:sz="0" w:space="0" w:color="auto"/>
      </w:divBdr>
    </w:div>
    <w:div w:id="1980377853">
      <w:bodyDiv w:val="1"/>
      <w:marLeft w:val="0"/>
      <w:marRight w:val="0"/>
      <w:marTop w:val="0"/>
      <w:marBottom w:val="0"/>
      <w:divBdr>
        <w:top w:val="none" w:sz="0" w:space="0" w:color="auto"/>
        <w:left w:val="none" w:sz="0" w:space="0" w:color="auto"/>
        <w:bottom w:val="none" w:sz="0" w:space="0" w:color="auto"/>
        <w:right w:val="none" w:sz="0" w:space="0" w:color="auto"/>
      </w:divBdr>
    </w:div>
    <w:div w:id="20612428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jpeg"/><Relationship Id="rId18"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3.jpeg"/><Relationship Id="rId17" Type="http://schemas.openxmlformats.org/officeDocument/2006/relationships/image" Target="media/image8.jpeg"/><Relationship Id="rId2" Type="http://schemas.openxmlformats.org/officeDocument/2006/relationships/customXml" Target="../customXml/item2.xml"/><Relationship Id="rId16" Type="http://schemas.openxmlformats.org/officeDocument/2006/relationships/image" Target="media/image7.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5" Type="http://schemas.openxmlformats.org/officeDocument/2006/relationships/styles" Target="styles.xml"/><Relationship Id="rId15" Type="http://schemas.openxmlformats.org/officeDocument/2006/relationships/image" Target="media/image6.jpeg"/><Relationship Id="rId10" Type="http://schemas.openxmlformats.org/officeDocument/2006/relationships/image" Target="media/image1.jpeg"/><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34ef6fd2-5125-4c23-b935-9d16404da0a5">
      <Terms xmlns="http://schemas.microsoft.com/office/infopath/2007/PartnerControls"/>
    </lcf76f155ced4ddcb4097134ff3c332f>
    <TaxCatchAll xmlns="8c3c43cf-186b-4613-84b4-a4ff23217b56"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FBDAB46CB42E974B8B343136A9C5AD12" ma:contentTypeVersion="15" ma:contentTypeDescription="Create a new document." ma:contentTypeScope="" ma:versionID="aefe246bf03e9288410dd955993d051b">
  <xsd:schema xmlns:xsd="http://www.w3.org/2001/XMLSchema" xmlns:xs="http://www.w3.org/2001/XMLSchema" xmlns:p="http://schemas.microsoft.com/office/2006/metadata/properties" xmlns:ns2="34ef6fd2-5125-4c23-b935-9d16404da0a5" xmlns:ns3="8c3c43cf-186b-4613-84b4-a4ff23217b56" targetNamespace="http://schemas.microsoft.com/office/2006/metadata/properties" ma:root="true" ma:fieldsID="7c8a55136015e83577a7f385805153b2" ns2:_="" ns3:_="">
    <xsd:import namespace="34ef6fd2-5125-4c23-b935-9d16404da0a5"/>
    <xsd:import namespace="8c3c43cf-186b-4613-84b4-a4ff23217b56"/>
    <xsd:element name="properties">
      <xsd:complexType>
        <xsd:sequence>
          <xsd:element name="documentManagement">
            <xsd:complexType>
              <xsd:all>
                <xsd:element ref="ns2:MediaServiceMetadata" minOccurs="0"/>
                <xsd:element ref="ns2:MediaServiceFastMetadata"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DateTaken" minOccurs="0"/>
                <xsd:element ref="ns3:SharedWithUsers" minOccurs="0"/>
                <xsd:element ref="ns3:SharedWithDetails" minOccurs="0"/>
                <xsd:element ref="ns2:MediaLengthInSeconds" minOccurs="0"/>
                <xsd:element ref="ns2:MediaServiceLocation"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4ef6fd2-5125-4c23-b935-9d16404da0a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1" nillable="true" ma:taxonomy="true" ma:internalName="lcf76f155ced4ddcb4097134ff3c332f" ma:taxonomyFieldName="MediaServiceImageTags" ma:displayName="Image Tags" ma:readOnly="false" ma:fieldId="{5cf76f15-5ced-4ddc-b409-7134ff3c332f}" ma:taxonomyMulti="true" ma:sspId="89cbd03e-66a2-4c18-a228-0d90db848384" ma:termSetId="09814cd3-568e-fe90-9814-8d621ff8fb84" ma:anchorId="fba54fb3-c3e1-fe81-a776-ca4b69148c4d" ma:open="true" ma:isKeyword="false">
      <xsd:complexType>
        <xsd:sequence>
          <xsd:element ref="pc:Terms" minOccurs="0" maxOccurs="1"/>
        </xsd:sequence>
      </xsd:complex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c3c43cf-186b-4613-84b4-a4ff23217b56" elementFormDefault="qualified">
    <xsd:import namespace="http://schemas.microsoft.com/office/2006/documentManagement/types"/>
    <xsd:import namespace="http://schemas.microsoft.com/office/infopath/2007/PartnerControls"/>
    <xsd:element name="TaxCatchAll" ma:index="12" nillable="true" ma:displayName="Taxonomy Catch All Column" ma:hidden="true" ma:list="{6212e874-be26-499a-b36a-3e9c3c72934e}" ma:internalName="TaxCatchAll" ma:showField="CatchAllData" ma:web="8c3c43cf-186b-4613-84b4-a4ff23217b56">
      <xsd:complexType>
        <xsd:complexContent>
          <xsd:extension base="dms:MultiChoiceLookup">
            <xsd:sequence>
              <xsd:element name="Value" type="dms:Lookup" maxOccurs="unbounded" minOccurs="0" nillable="true"/>
            </xsd:sequence>
          </xsd:extension>
        </xsd:complexContent>
      </xsd:complexType>
    </xsd:element>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E85ED80-7CB3-495F-9775-009C37D69023}">
  <ds:schemaRefs>
    <ds:schemaRef ds:uri="http://schemas.microsoft.com/office/2006/metadata/properties"/>
    <ds:schemaRef ds:uri="http://schemas.microsoft.com/office/infopath/2007/PartnerControls"/>
    <ds:schemaRef ds:uri="34ef6fd2-5125-4c23-b935-9d16404da0a5"/>
    <ds:schemaRef ds:uri="8c3c43cf-186b-4613-84b4-a4ff23217b56"/>
  </ds:schemaRefs>
</ds:datastoreItem>
</file>

<file path=customXml/itemProps2.xml><?xml version="1.0" encoding="utf-8"?>
<ds:datastoreItem xmlns:ds="http://schemas.openxmlformats.org/officeDocument/2006/customXml" ds:itemID="{CB92B6A0-41FF-4B4A-B610-900C863AADE5}">
  <ds:schemaRefs>
    <ds:schemaRef ds:uri="http://schemas.openxmlformats.org/officeDocument/2006/bibliography"/>
  </ds:schemaRefs>
</ds:datastoreItem>
</file>

<file path=customXml/itemProps3.xml><?xml version="1.0" encoding="utf-8"?>
<ds:datastoreItem xmlns:ds="http://schemas.openxmlformats.org/officeDocument/2006/customXml" ds:itemID="{D69A953D-9D0E-4442-9E3B-480CF62F82B5}">
  <ds:schemaRefs>
    <ds:schemaRef ds:uri="http://schemas.microsoft.com/sharepoint/v3/contenttype/forms"/>
  </ds:schemaRefs>
</ds:datastoreItem>
</file>

<file path=customXml/itemProps4.xml><?xml version="1.0" encoding="utf-8"?>
<ds:datastoreItem xmlns:ds="http://schemas.openxmlformats.org/officeDocument/2006/customXml" ds:itemID="{D81DB47F-11F1-4C48-912B-7402FD304B7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4ef6fd2-5125-4c23-b935-9d16404da0a5"/>
    <ds:schemaRef ds:uri="8c3c43cf-186b-4613-84b4-a4ff23217b5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407</TotalTime>
  <Pages>11</Pages>
  <Words>2748</Words>
  <Characters>14845</Characters>
  <Application>Microsoft Office Word</Application>
  <DocSecurity>0</DocSecurity>
  <Lines>905</Lines>
  <Paragraphs>344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17397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 Ren</dc:creator>
  <cp:keywords/>
  <dc:description/>
  <cp:lastModifiedBy>Christian Robinson</cp:lastModifiedBy>
  <cp:revision>53</cp:revision>
  <dcterms:created xsi:type="dcterms:W3CDTF">2024-08-29T13:24:00Z</dcterms:created>
  <dcterms:modified xsi:type="dcterms:W3CDTF">2025-12-02T10:17:00Z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zotero-version="7.0.10"&gt;&lt;session id="PUKE60tD"/&gt;&lt;style id="http://www.zotero.org/styles/nature" hasBibliography="1" bibliographyStyleHasBeenSet="1"/&gt;&lt;prefs&gt;&lt;pref name="fieldType" value="Field"/&gt;&lt;/prefs&gt;&lt;/data&gt;</vt:lpwstr>
  </property>
  <property fmtid="{D5CDD505-2E9C-101B-9397-08002B2CF9AE}" pid="3" name="ContentTypeId">
    <vt:lpwstr>0x010100FBDAB46CB42E974B8B343136A9C5AD12</vt:lpwstr>
  </property>
</Properties>
</file>